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F1" w:rsidRDefault="006173F1" w:rsidP="005F573C">
      <w:pPr>
        <w:pStyle w:val="Sinespaciado"/>
        <w:jc w:val="both"/>
        <w:rPr>
          <w:rFonts w:ascii="Century Gothic" w:hAnsi="Century Gothic"/>
          <w:sz w:val="24"/>
          <w:szCs w:val="24"/>
        </w:rPr>
      </w:pPr>
      <w:r w:rsidRPr="006173F1">
        <w:rPr>
          <w:rFonts w:ascii="Century Gothic" w:hAnsi="Century Gothic"/>
          <w:sz w:val="24"/>
          <w:szCs w:val="24"/>
        </w:rPr>
        <w:t>3. 4. 1. Sección 1</w:t>
      </w:r>
    </w:p>
    <w:p w:rsidR="006173F1" w:rsidRPr="006173F1" w:rsidRDefault="006173F1" w:rsidP="005F573C">
      <w:pPr>
        <w:pStyle w:val="Sinespaciado"/>
        <w:jc w:val="both"/>
        <w:rPr>
          <w:rFonts w:ascii="Century Gothic" w:hAnsi="Century Gothic"/>
          <w:sz w:val="24"/>
          <w:szCs w:val="24"/>
        </w:rPr>
      </w:pPr>
    </w:p>
    <w:p w:rsidR="006173F1" w:rsidRPr="006173F1" w:rsidRDefault="006173F1" w:rsidP="005F573C">
      <w:pPr>
        <w:pStyle w:val="Sinespaciado"/>
        <w:jc w:val="both"/>
        <w:rPr>
          <w:rFonts w:ascii="Century Gothic" w:hAnsi="Century Gothic"/>
          <w:sz w:val="24"/>
          <w:szCs w:val="24"/>
        </w:rPr>
      </w:pPr>
      <w:r w:rsidRPr="006173F1">
        <w:rPr>
          <w:rFonts w:ascii="Century Gothic" w:hAnsi="Century Gothic"/>
          <w:sz w:val="24"/>
          <w:szCs w:val="24"/>
        </w:rPr>
        <w:t>110. ¿La entidad formula políticas de prevención de daño antijurídico?</w:t>
      </w:r>
    </w:p>
    <w:p w:rsidR="006173F1" w:rsidRPr="006173F1" w:rsidRDefault="006173F1" w:rsidP="005F573C">
      <w:pPr>
        <w:pStyle w:val="Sinespaciado"/>
        <w:jc w:val="both"/>
        <w:rPr>
          <w:rFonts w:ascii="Century Gothic" w:hAnsi="Century Gothic"/>
          <w:b/>
          <w:sz w:val="24"/>
          <w:szCs w:val="24"/>
          <w:u w:val="single"/>
        </w:rPr>
      </w:pPr>
      <w:proofErr w:type="gramStart"/>
      <w:r w:rsidRPr="006173F1">
        <w:rPr>
          <w:rFonts w:ascii="Century Gothic" w:hAnsi="Century Gothic"/>
          <w:b/>
          <w:sz w:val="24"/>
          <w:szCs w:val="24"/>
          <w:u w:val="single"/>
        </w:rPr>
        <w:t>a</w:t>
      </w:r>
      <w:proofErr w:type="gramEnd"/>
      <w:r w:rsidRPr="006173F1">
        <w:rPr>
          <w:rFonts w:ascii="Century Gothic" w:hAnsi="Century Gothic"/>
          <w:b/>
          <w:sz w:val="24"/>
          <w:szCs w:val="24"/>
          <w:u w:val="single"/>
        </w:rPr>
        <w:t xml:space="preserve"> Si, y cuenta con las evidencias:</w:t>
      </w:r>
    </w:p>
    <w:p w:rsid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No</w:t>
      </w:r>
    </w:p>
    <w:p w:rsidR="006173F1" w:rsidRPr="006173F1" w:rsidRDefault="006173F1" w:rsidP="005F573C">
      <w:pPr>
        <w:pStyle w:val="Sinespaciado"/>
        <w:jc w:val="both"/>
        <w:rPr>
          <w:rFonts w:ascii="Century Gothic" w:hAnsi="Century Gothic"/>
          <w:sz w:val="24"/>
          <w:szCs w:val="24"/>
        </w:rPr>
      </w:pPr>
    </w:p>
    <w:p w:rsidR="006173F1" w:rsidRP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111. ¿La entidad recibió solicitudes de conciliación extrajudicial en la vigencia evaluada?</w:t>
      </w:r>
    </w:p>
    <w:p w:rsidR="006173F1" w:rsidRPr="006173F1" w:rsidRDefault="006173F1" w:rsidP="005F573C">
      <w:pPr>
        <w:pStyle w:val="Sinespaciado"/>
        <w:jc w:val="both"/>
        <w:rPr>
          <w:rFonts w:ascii="Century Gothic" w:hAnsi="Century Gothic"/>
          <w:b/>
          <w:sz w:val="24"/>
          <w:szCs w:val="24"/>
          <w:u w:val="single"/>
        </w:rPr>
      </w:pPr>
      <w:proofErr w:type="gramStart"/>
      <w:r w:rsidRPr="006173F1">
        <w:rPr>
          <w:rFonts w:ascii="Century Gothic" w:hAnsi="Century Gothic"/>
          <w:b/>
          <w:sz w:val="24"/>
          <w:szCs w:val="24"/>
          <w:u w:val="single"/>
        </w:rPr>
        <w:t>a</w:t>
      </w:r>
      <w:proofErr w:type="gramEnd"/>
      <w:r w:rsidRPr="006173F1">
        <w:rPr>
          <w:rFonts w:ascii="Century Gothic" w:hAnsi="Century Gothic"/>
          <w:b/>
          <w:sz w:val="24"/>
          <w:szCs w:val="24"/>
          <w:u w:val="single"/>
        </w:rPr>
        <w:t xml:space="preserve"> Si</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No</w:t>
      </w:r>
    </w:p>
    <w:p w:rsidR="006173F1" w:rsidRDefault="006173F1" w:rsidP="005F573C">
      <w:pPr>
        <w:pStyle w:val="Sinespaciado"/>
        <w:jc w:val="both"/>
        <w:rPr>
          <w:rFonts w:ascii="Century Gothic" w:hAnsi="Century Gothic"/>
          <w:color w:val="FF0000"/>
          <w:sz w:val="24"/>
          <w:szCs w:val="24"/>
        </w:rPr>
      </w:pPr>
    </w:p>
    <w:p w:rsidR="006173F1" w:rsidRPr="00187F45" w:rsidRDefault="006173F1" w:rsidP="005F573C">
      <w:pPr>
        <w:pStyle w:val="Sinespaciado"/>
        <w:jc w:val="both"/>
        <w:rPr>
          <w:rFonts w:ascii="Century Gothic" w:hAnsi="Century Gothic"/>
          <w:b/>
          <w:sz w:val="24"/>
          <w:szCs w:val="24"/>
        </w:rPr>
      </w:pPr>
      <w:r w:rsidRPr="00187F45">
        <w:rPr>
          <w:rFonts w:ascii="Century Gothic" w:hAnsi="Century Gothic"/>
          <w:b/>
          <w:sz w:val="24"/>
          <w:szCs w:val="24"/>
        </w:rPr>
        <w:t>112. Con respecto a las solicitudes de conciliación extrajudicial indique:</w:t>
      </w:r>
    </w:p>
    <w:p w:rsidR="006173F1" w:rsidRPr="00187F45" w:rsidRDefault="00B90B6A" w:rsidP="005F573C">
      <w:pPr>
        <w:pStyle w:val="Sinespaciado"/>
        <w:jc w:val="both"/>
        <w:rPr>
          <w:rFonts w:ascii="Century Gothic" w:hAnsi="Century Gothic"/>
          <w:b/>
          <w:sz w:val="24"/>
          <w:szCs w:val="24"/>
        </w:rPr>
      </w:pPr>
      <w:r w:rsidRPr="00187F45">
        <w:rPr>
          <w:rFonts w:ascii="Century Gothic" w:hAnsi="Century Gothic"/>
          <w:b/>
          <w:sz w:val="24"/>
          <w:szCs w:val="24"/>
        </w:rPr>
        <w:t>A</w:t>
      </w:r>
      <w:r w:rsidR="006173F1" w:rsidRPr="00187F45">
        <w:rPr>
          <w:rFonts w:ascii="Century Gothic" w:hAnsi="Century Gothic"/>
          <w:b/>
          <w:sz w:val="24"/>
          <w:szCs w:val="24"/>
        </w:rPr>
        <w:t xml:space="preserve"> ¿Cuántas solicitudes de conciliación extrajudicial recibió la entidad durante la vigencia evaluada?</w:t>
      </w:r>
    </w:p>
    <w:p w:rsidR="00B90B6A" w:rsidRPr="00187F45" w:rsidRDefault="00B90B6A" w:rsidP="005F573C">
      <w:pPr>
        <w:pStyle w:val="Sinespaciado"/>
        <w:jc w:val="both"/>
        <w:rPr>
          <w:rFonts w:ascii="Century Gothic" w:hAnsi="Century Gothic"/>
          <w:b/>
          <w:sz w:val="24"/>
          <w:szCs w:val="24"/>
        </w:rPr>
      </w:pPr>
    </w:p>
    <w:p w:rsidR="00B90B6A" w:rsidRPr="00187F45" w:rsidRDefault="00B90B6A" w:rsidP="005F573C">
      <w:pPr>
        <w:pStyle w:val="Sinespaciado"/>
        <w:jc w:val="both"/>
        <w:rPr>
          <w:rFonts w:ascii="Century Gothic" w:hAnsi="Century Gothic"/>
          <w:sz w:val="24"/>
          <w:szCs w:val="24"/>
        </w:rPr>
      </w:pPr>
      <w:r w:rsidRPr="00187F45">
        <w:rPr>
          <w:rFonts w:ascii="Century Gothic" w:hAnsi="Century Gothic"/>
          <w:sz w:val="24"/>
          <w:szCs w:val="24"/>
        </w:rPr>
        <w:t xml:space="preserve">Durante la vigencias 2018 se recibieron 7 Solicitudes de Conciliación  extrajudiciales  </w:t>
      </w:r>
    </w:p>
    <w:p w:rsidR="00B90B6A" w:rsidRPr="00187F45" w:rsidRDefault="00B90B6A" w:rsidP="005F573C">
      <w:pPr>
        <w:pStyle w:val="Sinespaciado"/>
        <w:jc w:val="both"/>
        <w:rPr>
          <w:rFonts w:ascii="Century Gothic" w:hAnsi="Century Gothic"/>
          <w:sz w:val="24"/>
          <w:szCs w:val="24"/>
        </w:rPr>
      </w:pPr>
    </w:p>
    <w:p w:rsidR="00B90B6A" w:rsidRPr="00187F45" w:rsidRDefault="00B90B6A" w:rsidP="005F573C">
      <w:pPr>
        <w:pStyle w:val="Sinespaciado"/>
        <w:jc w:val="both"/>
        <w:rPr>
          <w:rFonts w:ascii="Century Gothic" w:hAnsi="Century Gothic"/>
          <w:sz w:val="24"/>
          <w:szCs w:val="24"/>
        </w:rPr>
      </w:pPr>
    </w:p>
    <w:p w:rsidR="006173F1" w:rsidRPr="00187F45" w:rsidRDefault="00186DBA" w:rsidP="005F573C">
      <w:pPr>
        <w:pStyle w:val="Sinespaciado"/>
        <w:jc w:val="both"/>
        <w:rPr>
          <w:rFonts w:ascii="Century Gothic" w:hAnsi="Century Gothic"/>
          <w:sz w:val="24"/>
          <w:szCs w:val="24"/>
        </w:rPr>
      </w:pPr>
      <w:proofErr w:type="gramStart"/>
      <w:r w:rsidRPr="00187F45">
        <w:rPr>
          <w:rFonts w:ascii="Century Gothic" w:hAnsi="Century Gothic"/>
          <w:sz w:val="24"/>
          <w:szCs w:val="24"/>
        </w:rPr>
        <w:t>¿</w:t>
      </w:r>
      <w:proofErr w:type="gramEnd"/>
      <w:r w:rsidRPr="00187F45">
        <w:rPr>
          <w:rFonts w:ascii="Century Gothic" w:hAnsi="Century Gothic"/>
          <w:sz w:val="24"/>
          <w:szCs w:val="24"/>
        </w:rPr>
        <w:t>Cuál</w:t>
      </w:r>
      <w:r w:rsidR="006173F1" w:rsidRPr="00187F45">
        <w:rPr>
          <w:rFonts w:ascii="Century Gothic" w:hAnsi="Century Gothic"/>
          <w:sz w:val="24"/>
          <w:szCs w:val="24"/>
        </w:rPr>
        <w:t xml:space="preserve"> es el valor de las pretensiones de las solicitudes de conciliación extrajudicial recibidas en la vigencia</w:t>
      </w:r>
    </w:p>
    <w:p w:rsidR="006173F1" w:rsidRPr="00187F45" w:rsidRDefault="00B90B6A" w:rsidP="005F573C">
      <w:pPr>
        <w:pStyle w:val="Sinespaciado"/>
        <w:jc w:val="both"/>
        <w:rPr>
          <w:rFonts w:ascii="Century Gothic" w:hAnsi="Century Gothic"/>
          <w:sz w:val="24"/>
          <w:szCs w:val="24"/>
        </w:rPr>
      </w:pPr>
      <w:r w:rsidRPr="00187F45">
        <w:rPr>
          <w:rFonts w:ascii="Century Gothic" w:hAnsi="Century Gothic"/>
          <w:sz w:val="24"/>
          <w:szCs w:val="24"/>
        </w:rPr>
        <w:t>Evaluada</w:t>
      </w:r>
      <w:proofErr w:type="gramStart"/>
      <w:r w:rsidRPr="00187F45">
        <w:rPr>
          <w:rFonts w:ascii="Century Gothic" w:hAnsi="Century Gothic"/>
          <w:sz w:val="24"/>
          <w:szCs w:val="24"/>
        </w:rPr>
        <w:t>?</w:t>
      </w:r>
      <w:proofErr w:type="gramEnd"/>
    </w:p>
    <w:p w:rsidR="00B90B6A" w:rsidRDefault="00B90B6A" w:rsidP="005F573C">
      <w:pPr>
        <w:pStyle w:val="Sinespaciado"/>
        <w:jc w:val="both"/>
        <w:rPr>
          <w:rFonts w:ascii="Century Gothic" w:hAnsi="Century Gothic"/>
          <w:color w:val="FF0000"/>
          <w:sz w:val="24"/>
          <w:szCs w:val="24"/>
        </w:rPr>
      </w:pPr>
    </w:p>
    <w:p w:rsidR="00B90B6A" w:rsidRPr="006173F1" w:rsidRDefault="00B90B6A" w:rsidP="005F573C">
      <w:pPr>
        <w:pStyle w:val="Sinespaciado"/>
        <w:jc w:val="both"/>
        <w:rPr>
          <w:rFonts w:ascii="Century Gothic" w:hAnsi="Century Gothic"/>
          <w:color w:val="FF0000"/>
          <w:sz w:val="24"/>
          <w:szCs w:val="24"/>
        </w:rPr>
      </w:pPr>
    </w:p>
    <w:tbl>
      <w:tblPr>
        <w:tblStyle w:val="Tablaconcuadrcula"/>
        <w:tblW w:w="0" w:type="auto"/>
        <w:tblLook w:val="04A0"/>
      </w:tblPr>
      <w:tblGrid>
        <w:gridCol w:w="2244"/>
        <w:gridCol w:w="2244"/>
        <w:gridCol w:w="2245"/>
        <w:gridCol w:w="2245"/>
      </w:tblGrid>
      <w:tr w:rsidR="00B90B6A" w:rsidTr="00B90B6A">
        <w:tc>
          <w:tcPr>
            <w:tcW w:w="2244" w:type="dxa"/>
          </w:tcPr>
          <w:p w:rsidR="00B90B6A" w:rsidRPr="00186DBA" w:rsidRDefault="00B90B6A" w:rsidP="005F573C">
            <w:pPr>
              <w:pStyle w:val="Sinespaciado"/>
              <w:jc w:val="both"/>
              <w:rPr>
                <w:rFonts w:ascii="Century Gothic" w:hAnsi="Century Gothic"/>
                <w:b/>
                <w:sz w:val="24"/>
                <w:szCs w:val="24"/>
              </w:rPr>
            </w:pPr>
            <w:r w:rsidRPr="00186DBA">
              <w:rPr>
                <w:rFonts w:ascii="Century Gothic" w:hAnsi="Century Gothic"/>
                <w:b/>
                <w:sz w:val="24"/>
                <w:szCs w:val="24"/>
              </w:rPr>
              <w:t>RADICADO</w:t>
            </w:r>
          </w:p>
        </w:tc>
        <w:tc>
          <w:tcPr>
            <w:tcW w:w="2244" w:type="dxa"/>
          </w:tcPr>
          <w:p w:rsidR="00B90B6A" w:rsidRPr="00186DBA" w:rsidRDefault="00B90B6A" w:rsidP="005F573C">
            <w:pPr>
              <w:pStyle w:val="Sinespaciado"/>
              <w:jc w:val="both"/>
              <w:rPr>
                <w:rFonts w:ascii="Century Gothic" w:hAnsi="Century Gothic"/>
                <w:b/>
                <w:sz w:val="24"/>
                <w:szCs w:val="24"/>
              </w:rPr>
            </w:pPr>
            <w:r w:rsidRPr="00186DBA">
              <w:rPr>
                <w:rFonts w:ascii="Century Gothic" w:hAnsi="Century Gothic"/>
                <w:b/>
                <w:sz w:val="24"/>
                <w:szCs w:val="24"/>
              </w:rPr>
              <w:t>CONVOCANTE</w:t>
            </w:r>
          </w:p>
        </w:tc>
        <w:tc>
          <w:tcPr>
            <w:tcW w:w="2245" w:type="dxa"/>
          </w:tcPr>
          <w:p w:rsidR="00B90B6A" w:rsidRPr="00186DBA" w:rsidRDefault="00B90B6A" w:rsidP="005F573C">
            <w:pPr>
              <w:pStyle w:val="Sinespaciado"/>
              <w:jc w:val="both"/>
              <w:rPr>
                <w:rFonts w:ascii="Century Gothic" w:hAnsi="Century Gothic"/>
                <w:b/>
                <w:sz w:val="24"/>
                <w:szCs w:val="24"/>
              </w:rPr>
            </w:pPr>
            <w:r w:rsidRPr="00186DBA">
              <w:rPr>
                <w:rFonts w:ascii="Century Gothic" w:hAnsi="Century Gothic"/>
                <w:b/>
                <w:sz w:val="24"/>
                <w:szCs w:val="24"/>
              </w:rPr>
              <w:t>CONVOCADO</w:t>
            </w:r>
          </w:p>
        </w:tc>
        <w:tc>
          <w:tcPr>
            <w:tcW w:w="2245" w:type="dxa"/>
          </w:tcPr>
          <w:p w:rsidR="00B90B6A" w:rsidRPr="00186DBA" w:rsidRDefault="00B90B6A" w:rsidP="005F573C">
            <w:pPr>
              <w:pStyle w:val="Sinespaciado"/>
              <w:jc w:val="both"/>
              <w:rPr>
                <w:rFonts w:ascii="Century Gothic" w:hAnsi="Century Gothic"/>
                <w:b/>
                <w:sz w:val="24"/>
                <w:szCs w:val="24"/>
              </w:rPr>
            </w:pPr>
            <w:r w:rsidRPr="00186DBA">
              <w:rPr>
                <w:rFonts w:ascii="Century Gothic" w:hAnsi="Century Gothic"/>
                <w:b/>
                <w:sz w:val="24"/>
                <w:szCs w:val="24"/>
              </w:rPr>
              <w:t>PRETENSIONES</w:t>
            </w:r>
          </w:p>
        </w:tc>
      </w:tr>
      <w:tr w:rsidR="00B90B6A" w:rsidTr="00B90B6A">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2018-134</w:t>
            </w:r>
          </w:p>
        </w:tc>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Víctor German</w:t>
            </w:r>
          </w:p>
        </w:tc>
        <w:tc>
          <w:tcPr>
            <w:tcW w:w="2245" w:type="dxa"/>
          </w:tcPr>
          <w:p w:rsidR="00B90B6A" w:rsidRDefault="00B90B6A" w:rsidP="00B90B6A">
            <w:pPr>
              <w:pStyle w:val="Sinespaciado"/>
              <w:jc w:val="both"/>
              <w:rPr>
                <w:rFonts w:ascii="Century Gothic" w:hAnsi="Century Gothic"/>
                <w:sz w:val="24"/>
                <w:szCs w:val="24"/>
              </w:rPr>
            </w:pPr>
            <w:r>
              <w:rPr>
                <w:rFonts w:ascii="Century Gothic" w:hAnsi="Century Gothic"/>
                <w:sz w:val="24"/>
                <w:szCs w:val="24"/>
              </w:rPr>
              <w:t xml:space="preserve">ESE Hospital regional de Sogamoso </w:t>
            </w:r>
          </w:p>
        </w:tc>
        <w:tc>
          <w:tcPr>
            <w:tcW w:w="2245" w:type="dxa"/>
          </w:tcPr>
          <w:p w:rsidR="00B90B6A" w:rsidRDefault="00186DBA" w:rsidP="005F573C">
            <w:pPr>
              <w:pStyle w:val="Sinespaciado"/>
              <w:jc w:val="both"/>
              <w:rPr>
                <w:rFonts w:ascii="Century Gothic" w:hAnsi="Century Gothic"/>
                <w:sz w:val="24"/>
                <w:szCs w:val="24"/>
              </w:rPr>
            </w:pPr>
            <w:r>
              <w:rPr>
                <w:rFonts w:ascii="Century Gothic" w:hAnsi="Century Gothic"/>
                <w:sz w:val="24"/>
                <w:szCs w:val="24"/>
              </w:rPr>
              <w:t>147.445.228</w:t>
            </w:r>
          </w:p>
        </w:tc>
      </w:tr>
      <w:tr w:rsidR="00B90B6A" w:rsidTr="00B90B6A">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2018-0098</w:t>
            </w:r>
          </w:p>
        </w:tc>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Héctor rojas</w:t>
            </w:r>
          </w:p>
        </w:tc>
        <w:tc>
          <w:tcPr>
            <w:tcW w:w="2245"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ESE Hospital regional de Sogamoso</w:t>
            </w:r>
          </w:p>
        </w:tc>
        <w:tc>
          <w:tcPr>
            <w:tcW w:w="2245" w:type="dxa"/>
          </w:tcPr>
          <w:p w:rsidR="00B90B6A" w:rsidRDefault="00186DBA" w:rsidP="005F573C">
            <w:pPr>
              <w:pStyle w:val="Sinespaciado"/>
              <w:jc w:val="both"/>
              <w:rPr>
                <w:rFonts w:ascii="Century Gothic" w:hAnsi="Century Gothic"/>
                <w:sz w:val="24"/>
                <w:szCs w:val="24"/>
              </w:rPr>
            </w:pPr>
            <w:r>
              <w:rPr>
                <w:rFonts w:ascii="Century Gothic" w:hAnsi="Century Gothic"/>
                <w:sz w:val="24"/>
                <w:szCs w:val="24"/>
              </w:rPr>
              <w:t>187.500.000</w:t>
            </w:r>
          </w:p>
        </w:tc>
      </w:tr>
      <w:tr w:rsidR="00B90B6A" w:rsidTr="00B90B6A">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2018-001</w:t>
            </w:r>
          </w:p>
        </w:tc>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Derly Constanza</w:t>
            </w:r>
          </w:p>
        </w:tc>
        <w:tc>
          <w:tcPr>
            <w:tcW w:w="2245"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ESE Hospital regional de Sogamoso</w:t>
            </w:r>
          </w:p>
        </w:tc>
        <w:tc>
          <w:tcPr>
            <w:tcW w:w="2245"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99.349.041</w:t>
            </w:r>
          </w:p>
        </w:tc>
      </w:tr>
      <w:tr w:rsidR="00B90B6A" w:rsidTr="00B90B6A">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2018-002</w:t>
            </w:r>
          </w:p>
        </w:tc>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Susana castillo</w:t>
            </w:r>
          </w:p>
        </w:tc>
        <w:tc>
          <w:tcPr>
            <w:tcW w:w="2245"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ESE Hospital regional de Sogamoso</w:t>
            </w:r>
          </w:p>
        </w:tc>
        <w:tc>
          <w:tcPr>
            <w:tcW w:w="2245" w:type="dxa"/>
          </w:tcPr>
          <w:p w:rsidR="00B90B6A" w:rsidRDefault="00186DBA" w:rsidP="005F573C">
            <w:pPr>
              <w:pStyle w:val="Sinespaciado"/>
              <w:jc w:val="both"/>
              <w:rPr>
                <w:rFonts w:ascii="Century Gothic" w:hAnsi="Century Gothic"/>
                <w:sz w:val="24"/>
                <w:szCs w:val="24"/>
              </w:rPr>
            </w:pPr>
            <w:r>
              <w:rPr>
                <w:rFonts w:ascii="Century Gothic" w:hAnsi="Century Gothic"/>
                <w:sz w:val="24"/>
                <w:szCs w:val="24"/>
              </w:rPr>
              <w:t>87000.000</w:t>
            </w:r>
          </w:p>
          <w:p w:rsidR="00186DBA" w:rsidRDefault="00186DBA" w:rsidP="005F573C">
            <w:pPr>
              <w:pStyle w:val="Sinespaciado"/>
              <w:jc w:val="both"/>
              <w:rPr>
                <w:rFonts w:ascii="Century Gothic" w:hAnsi="Century Gothic"/>
                <w:sz w:val="24"/>
                <w:szCs w:val="24"/>
              </w:rPr>
            </w:pPr>
          </w:p>
        </w:tc>
      </w:tr>
      <w:tr w:rsidR="00B90B6A" w:rsidTr="00B90B6A">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2018-0015</w:t>
            </w:r>
          </w:p>
        </w:tc>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Marcela Sánchez</w:t>
            </w:r>
          </w:p>
        </w:tc>
        <w:tc>
          <w:tcPr>
            <w:tcW w:w="2245"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ESE Hospital regional de Sogamoso</w:t>
            </w:r>
          </w:p>
        </w:tc>
        <w:tc>
          <w:tcPr>
            <w:tcW w:w="2245" w:type="dxa"/>
          </w:tcPr>
          <w:p w:rsidR="00B90B6A" w:rsidRDefault="00186DBA" w:rsidP="005F573C">
            <w:pPr>
              <w:pStyle w:val="Sinespaciado"/>
              <w:jc w:val="both"/>
              <w:rPr>
                <w:rFonts w:ascii="Century Gothic" w:hAnsi="Century Gothic"/>
                <w:sz w:val="24"/>
                <w:szCs w:val="24"/>
              </w:rPr>
            </w:pPr>
            <w:r>
              <w:rPr>
                <w:rFonts w:ascii="Century Gothic" w:hAnsi="Century Gothic"/>
                <w:sz w:val="24"/>
                <w:szCs w:val="24"/>
              </w:rPr>
              <w:t>159.369.00</w:t>
            </w:r>
          </w:p>
        </w:tc>
      </w:tr>
      <w:tr w:rsidR="00B90B6A" w:rsidTr="00B90B6A">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2018-001</w:t>
            </w:r>
          </w:p>
        </w:tc>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Diana carolina</w:t>
            </w:r>
          </w:p>
        </w:tc>
        <w:tc>
          <w:tcPr>
            <w:tcW w:w="2245"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ESE Hospital regional de Sogamoso</w:t>
            </w:r>
          </w:p>
        </w:tc>
        <w:tc>
          <w:tcPr>
            <w:tcW w:w="2245" w:type="dxa"/>
          </w:tcPr>
          <w:p w:rsidR="00B90B6A" w:rsidRDefault="00186DBA" w:rsidP="00186DBA">
            <w:pPr>
              <w:pStyle w:val="Sinespaciado"/>
              <w:jc w:val="both"/>
              <w:rPr>
                <w:rFonts w:ascii="Century Gothic" w:hAnsi="Century Gothic"/>
                <w:sz w:val="24"/>
                <w:szCs w:val="24"/>
              </w:rPr>
            </w:pPr>
            <w:r>
              <w:rPr>
                <w:rFonts w:ascii="Century Gothic" w:hAnsi="Century Gothic"/>
                <w:sz w:val="24"/>
                <w:szCs w:val="24"/>
              </w:rPr>
              <w:t>145.669.870</w:t>
            </w:r>
          </w:p>
        </w:tc>
      </w:tr>
      <w:tr w:rsidR="00B90B6A" w:rsidTr="00B90B6A">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lastRenderedPageBreak/>
              <w:t>367-2017</w:t>
            </w:r>
          </w:p>
        </w:tc>
        <w:tc>
          <w:tcPr>
            <w:tcW w:w="2244"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Eduardo cárdenas</w:t>
            </w:r>
          </w:p>
        </w:tc>
        <w:tc>
          <w:tcPr>
            <w:tcW w:w="2245" w:type="dxa"/>
          </w:tcPr>
          <w:p w:rsidR="00B90B6A" w:rsidRDefault="00B90B6A" w:rsidP="005F573C">
            <w:pPr>
              <w:pStyle w:val="Sinespaciado"/>
              <w:jc w:val="both"/>
              <w:rPr>
                <w:rFonts w:ascii="Century Gothic" w:hAnsi="Century Gothic"/>
                <w:sz w:val="24"/>
                <w:szCs w:val="24"/>
              </w:rPr>
            </w:pPr>
            <w:r>
              <w:rPr>
                <w:rFonts w:ascii="Century Gothic" w:hAnsi="Century Gothic"/>
                <w:sz w:val="24"/>
                <w:szCs w:val="24"/>
              </w:rPr>
              <w:t>ESE Hospital regional de Sogamoso</w:t>
            </w:r>
          </w:p>
        </w:tc>
        <w:tc>
          <w:tcPr>
            <w:tcW w:w="2245" w:type="dxa"/>
          </w:tcPr>
          <w:p w:rsidR="00B90B6A" w:rsidRDefault="00186DBA" w:rsidP="005F573C">
            <w:pPr>
              <w:pStyle w:val="Sinespaciado"/>
              <w:jc w:val="both"/>
              <w:rPr>
                <w:rFonts w:ascii="Century Gothic" w:hAnsi="Century Gothic"/>
                <w:sz w:val="24"/>
                <w:szCs w:val="24"/>
              </w:rPr>
            </w:pPr>
            <w:r>
              <w:rPr>
                <w:rFonts w:ascii="Century Gothic" w:hAnsi="Century Gothic"/>
                <w:sz w:val="24"/>
                <w:szCs w:val="24"/>
              </w:rPr>
              <w:t>313.529.772</w:t>
            </w:r>
          </w:p>
        </w:tc>
      </w:tr>
    </w:tbl>
    <w:p w:rsidR="006173F1" w:rsidRDefault="006173F1" w:rsidP="005F573C">
      <w:pPr>
        <w:pStyle w:val="Sinespaciado"/>
        <w:jc w:val="both"/>
        <w:rPr>
          <w:rFonts w:ascii="Century Gothic" w:hAnsi="Century Gothic"/>
          <w:sz w:val="24"/>
          <w:szCs w:val="24"/>
        </w:rPr>
      </w:pPr>
    </w:p>
    <w:p w:rsidR="006173F1" w:rsidRP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 xml:space="preserve">113. ¿La entidad cuenta con un sistema de información o base de datos que contenga el inventario completo de los trámites prejudiciales y extrajudiciales en los que son parte? </w:t>
      </w:r>
    </w:p>
    <w:p w:rsidR="006173F1" w:rsidRPr="006173F1" w:rsidRDefault="006173F1" w:rsidP="005F573C">
      <w:pPr>
        <w:pStyle w:val="Sinespaciado"/>
        <w:jc w:val="both"/>
        <w:rPr>
          <w:rFonts w:ascii="Century Gothic" w:hAnsi="Century Gothic"/>
          <w:sz w:val="24"/>
          <w:szCs w:val="24"/>
        </w:rPr>
      </w:pPr>
    </w:p>
    <w:p w:rsidR="006173F1" w:rsidRPr="006173F1" w:rsidRDefault="006173F1" w:rsidP="005F573C">
      <w:pPr>
        <w:pStyle w:val="Sinespaciado"/>
        <w:jc w:val="both"/>
        <w:rPr>
          <w:rFonts w:ascii="Century Gothic" w:hAnsi="Century Gothic"/>
          <w:b/>
          <w:sz w:val="24"/>
          <w:szCs w:val="24"/>
          <w:u w:val="single"/>
        </w:rPr>
      </w:pPr>
      <w:proofErr w:type="gramStart"/>
      <w:r w:rsidRPr="006173F1">
        <w:rPr>
          <w:rFonts w:ascii="Century Gothic" w:hAnsi="Century Gothic"/>
          <w:b/>
          <w:sz w:val="24"/>
          <w:szCs w:val="24"/>
          <w:u w:val="single"/>
        </w:rPr>
        <w:t>a</w:t>
      </w:r>
      <w:proofErr w:type="gramEnd"/>
      <w:r w:rsidRPr="006173F1">
        <w:rPr>
          <w:rFonts w:ascii="Century Gothic" w:hAnsi="Century Gothic"/>
          <w:b/>
          <w:sz w:val="24"/>
          <w:szCs w:val="24"/>
          <w:u w:val="single"/>
        </w:rPr>
        <w:t xml:space="preserve"> Si, y cuenta con las evidencias:</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Parcialmente, y cuenta con las evidencias:</w:t>
      </w:r>
    </w:p>
    <w:p w:rsid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c</w:t>
      </w:r>
      <w:proofErr w:type="gramEnd"/>
      <w:r w:rsidRPr="006173F1">
        <w:rPr>
          <w:rFonts w:ascii="Century Gothic" w:hAnsi="Century Gothic"/>
          <w:sz w:val="24"/>
          <w:szCs w:val="24"/>
        </w:rPr>
        <w:t xml:space="preserve"> No</w:t>
      </w:r>
    </w:p>
    <w:p w:rsidR="006173F1" w:rsidRPr="006173F1" w:rsidRDefault="006173F1" w:rsidP="005F573C">
      <w:pPr>
        <w:pStyle w:val="Sinespaciado"/>
        <w:jc w:val="both"/>
        <w:rPr>
          <w:rFonts w:ascii="Century Gothic" w:hAnsi="Century Gothic"/>
          <w:sz w:val="24"/>
          <w:szCs w:val="24"/>
        </w:rPr>
      </w:pPr>
    </w:p>
    <w:p w:rsid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114. ¿La entidad ha formulado directrices de conciliación?</w:t>
      </w:r>
    </w:p>
    <w:p w:rsidR="006173F1" w:rsidRPr="006173F1" w:rsidRDefault="006173F1" w:rsidP="005F573C">
      <w:pPr>
        <w:pStyle w:val="Sinespaciado"/>
        <w:jc w:val="both"/>
        <w:rPr>
          <w:rFonts w:ascii="Century Gothic" w:hAnsi="Century Gothic"/>
          <w:b/>
          <w:sz w:val="24"/>
          <w:szCs w:val="24"/>
        </w:rPr>
      </w:pPr>
    </w:p>
    <w:p w:rsidR="006173F1" w:rsidRPr="005F573C" w:rsidRDefault="006173F1" w:rsidP="005F573C">
      <w:pPr>
        <w:pStyle w:val="Sinespaciado"/>
        <w:jc w:val="both"/>
        <w:rPr>
          <w:rFonts w:ascii="Century Gothic" w:hAnsi="Century Gothic"/>
          <w:b/>
          <w:sz w:val="24"/>
          <w:szCs w:val="24"/>
          <w:u w:val="single"/>
        </w:rPr>
      </w:pPr>
      <w:r w:rsidRPr="005F573C">
        <w:rPr>
          <w:rFonts w:ascii="Century Gothic" w:hAnsi="Century Gothic"/>
          <w:b/>
          <w:sz w:val="24"/>
          <w:szCs w:val="24"/>
          <w:u w:val="single"/>
        </w:rPr>
        <w:t>a</w:t>
      </w:r>
      <w:r w:rsidRPr="005F573C">
        <w:rPr>
          <w:rFonts w:ascii="Century Gothic" w:hAnsi="Century Gothic"/>
          <w:sz w:val="24"/>
          <w:szCs w:val="24"/>
        </w:rPr>
        <w:t xml:space="preserve"> </w:t>
      </w:r>
      <w:r w:rsidRPr="005F573C">
        <w:rPr>
          <w:rFonts w:ascii="Century Gothic" w:hAnsi="Century Gothic"/>
          <w:b/>
          <w:sz w:val="24"/>
          <w:szCs w:val="24"/>
        </w:rPr>
        <w:t>Si, y cuenta con las evidencias:</w:t>
      </w:r>
      <w:r w:rsidR="005F573C" w:rsidRPr="005F573C">
        <w:t xml:space="preserve"> </w:t>
      </w:r>
      <w:r w:rsidR="005F573C">
        <w:t>D</w:t>
      </w:r>
      <w:r w:rsidR="005F573C" w:rsidRPr="005F573C">
        <w:rPr>
          <w:rFonts w:ascii="Century Gothic" w:hAnsi="Century Gothic"/>
          <w:sz w:val="24"/>
          <w:szCs w:val="24"/>
        </w:rPr>
        <w:t>entro de las políticas de defensa judicial que adopto la ESE mediante acto administrativo para el efecto, estableció a través del comité de conciliaciones  y defensa judicial y conforme a los parámetros contemplados en el Decreto 1719 de 2009, la ley 1437 de 2011 y  la Ley 1122 de 2007, estableció el trámite para el estudio, discusión y decisión sobre todas las conciliaciones prejudiciales que se interpone ya sea por acciones de tipo contencioso administrativo, o para cobro de cartera ante la Superintendencia Nacional de Salud, las cuales se presentan en las reuniones ordinarias en el comité de conciliaciones que se realizan cada 15 días de acuerdo con lo ordenado por el CPACA, y en las que después de un análisis jurisprudencial comparativo, así como también revisando aspectos técnicos de cada una  de las solicitudes de conciliación, con base en la documentación que reposan en la ESE Salud Sogamoso, incluidas historias clínicas, las facturas, y demás documentos requeridos de acuerdo al tipo de conciliación, los miembros del comité establecen luego de este análisis  de la vialidad o no de conciliar y en caso afirmativo se propone formula conciliatoria para ser presentada y solicitando la correspondiente disponibilidad presupuestal requerida, y una vez la propuesta conciliatoria sea avalada por parte del Juzgado de Conocimiento o por la Superintendencia  Nacional de Salud según el caso, se procede al trámite para el pago de la obligación. En caso de plantearse por el comité de conciliación la no conciliación se levanta dentro del acta del comité que también se genera para el caso en que se concilie, la narración suscita de los hechos, materia de la conciliación y el análisis jurisprudencia y los motivos que se tengan para no conciliar, suscribiéndose certificación por el Secretario Técnico del comité de conciliación y defensa judicial para ser presentada ante la Procuraduría o el Juzgado de Conocimiento según el caso.</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No</w:t>
      </w:r>
    </w:p>
    <w:p w:rsidR="006173F1" w:rsidRDefault="006173F1" w:rsidP="005F573C">
      <w:pPr>
        <w:pStyle w:val="Sinespaciado"/>
        <w:jc w:val="both"/>
        <w:rPr>
          <w:rFonts w:ascii="Century Gothic" w:hAnsi="Century Gothic"/>
          <w:sz w:val="24"/>
          <w:szCs w:val="24"/>
        </w:rPr>
      </w:pPr>
    </w:p>
    <w:p w:rsid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lastRenderedPageBreak/>
        <w:t xml:space="preserve">115. Acerca de la procedencia de las solicitudes de conciliación elevadas ante la entidad, ¿se deciden en los términos previstos por la normatividad? </w:t>
      </w:r>
    </w:p>
    <w:p w:rsidR="006173F1" w:rsidRPr="006173F1" w:rsidRDefault="006173F1" w:rsidP="005F573C">
      <w:pPr>
        <w:pStyle w:val="Sinespaciado"/>
        <w:jc w:val="both"/>
        <w:rPr>
          <w:rFonts w:ascii="Century Gothic" w:hAnsi="Century Gothic"/>
          <w:b/>
          <w:sz w:val="24"/>
          <w:szCs w:val="24"/>
        </w:rPr>
      </w:pPr>
    </w:p>
    <w:p w:rsidR="006173F1" w:rsidRPr="006173F1" w:rsidRDefault="006173F1" w:rsidP="005F573C">
      <w:pPr>
        <w:pStyle w:val="Sinespaciado"/>
        <w:jc w:val="both"/>
        <w:rPr>
          <w:rFonts w:ascii="Century Gothic" w:hAnsi="Century Gothic"/>
          <w:b/>
          <w:sz w:val="24"/>
          <w:szCs w:val="24"/>
          <w:u w:val="single"/>
        </w:rPr>
      </w:pPr>
      <w:proofErr w:type="gramStart"/>
      <w:r w:rsidRPr="006173F1">
        <w:rPr>
          <w:rFonts w:ascii="Century Gothic" w:hAnsi="Century Gothic"/>
          <w:b/>
          <w:sz w:val="24"/>
          <w:szCs w:val="24"/>
          <w:u w:val="single"/>
        </w:rPr>
        <w:t>a</w:t>
      </w:r>
      <w:proofErr w:type="gramEnd"/>
      <w:r w:rsidRPr="006173F1">
        <w:rPr>
          <w:rFonts w:ascii="Century Gothic" w:hAnsi="Century Gothic"/>
          <w:b/>
          <w:sz w:val="24"/>
          <w:szCs w:val="24"/>
          <w:u w:val="single"/>
        </w:rPr>
        <w:t xml:space="preserve"> Si, y cuenta con las evidencias:</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Parcialmente, y cuenta con las evidencias:</w:t>
      </w:r>
    </w:p>
    <w:p w:rsid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c</w:t>
      </w:r>
      <w:proofErr w:type="gramEnd"/>
      <w:r w:rsidRPr="006173F1">
        <w:rPr>
          <w:rFonts w:ascii="Century Gothic" w:hAnsi="Century Gothic"/>
          <w:sz w:val="24"/>
          <w:szCs w:val="24"/>
        </w:rPr>
        <w:t xml:space="preserve"> No</w:t>
      </w:r>
    </w:p>
    <w:p w:rsidR="006173F1" w:rsidRPr="006173F1" w:rsidRDefault="006173F1" w:rsidP="005F573C">
      <w:pPr>
        <w:pStyle w:val="Sinespaciado"/>
        <w:jc w:val="both"/>
        <w:rPr>
          <w:rFonts w:ascii="Century Gothic" w:hAnsi="Century Gothic"/>
          <w:sz w:val="24"/>
          <w:szCs w:val="24"/>
        </w:rPr>
      </w:pPr>
    </w:p>
    <w:p w:rsidR="00D211FF"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116. ¿La entidad contaba con demandas activas en su contra a 31 de diciembre de 2018?</w:t>
      </w:r>
    </w:p>
    <w:p w:rsidR="006173F1" w:rsidRPr="006173F1" w:rsidRDefault="006173F1" w:rsidP="005F573C">
      <w:pPr>
        <w:pStyle w:val="Sinespaciado"/>
        <w:jc w:val="both"/>
        <w:rPr>
          <w:rFonts w:ascii="Century Gothic" w:hAnsi="Century Gothic"/>
          <w:b/>
          <w:sz w:val="24"/>
          <w:szCs w:val="24"/>
        </w:rPr>
      </w:pPr>
    </w:p>
    <w:p w:rsidR="006173F1" w:rsidRPr="006173F1" w:rsidRDefault="006173F1" w:rsidP="005F573C">
      <w:pPr>
        <w:pStyle w:val="Sinespaciado"/>
        <w:jc w:val="both"/>
        <w:rPr>
          <w:rFonts w:ascii="Century Gothic" w:hAnsi="Century Gothic"/>
          <w:b/>
          <w:sz w:val="24"/>
          <w:szCs w:val="24"/>
          <w:u w:val="single"/>
        </w:rPr>
      </w:pPr>
      <w:proofErr w:type="gramStart"/>
      <w:r w:rsidRPr="006173F1">
        <w:rPr>
          <w:rFonts w:ascii="Century Gothic" w:hAnsi="Century Gothic"/>
          <w:b/>
          <w:sz w:val="24"/>
          <w:szCs w:val="24"/>
          <w:u w:val="single"/>
        </w:rPr>
        <w:t>a</w:t>
      </w:r>
      <w:proofErr w:type="gramEnd"/>
      <w:r w:rsidRPr="006173F1">
        <w:rPr>
          <w:rFonts w:ascii="Century Gothic" w:hAnsi="Century Gothic"/>
          <w:b/>
          <w:sz w:val="24"/>
          <w:szCs w:val="24"/>
          <w:u w:val="single"/>
        </w:rPr>
        <w:t xml:space="preserve"> Si</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No</w:t>
      </w:r>
    </w:p>
    <w:p w:rsid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117. Con respecto a las demandas en contra de la entidad indique:</w:t>
      </w:r>
    </w:p>
    <w:p w:rsidR="006173F1" w:rsidRPr="006173F1" w:rsidRDefault="006173F1" w:rsidP="005F573C">
      <w:pPr>
        <w:pStyle w:val="Sinespaciado"/>
        <w:jc w:val="both"/>
        <w:rPr>
          <w:rFonts w:ascii="Century Gothic" w:hAnsi="Century Gothic"/>
          <w:b/>
          <w:sz w:val="24"/>
          <w:szCs w:val="24"/>
        </w:rPr>
      </w:pPr>
    </w:p>
    <w:p w:rsidR="006173F1" w:rsidRDefault="006173F1" w:rsidP="005F573C">
      <w:pPr>
        <w:pStyle w:val="Sinespaciado"/>
        <w:jc w:val="both"/>
        <w:rPr>
          <w:rFonts w:ascii="Century Gothic" w:hAnsi="Century Gothic"/>
          <w:b/>
          <w:sz w:val="24"/>
          <w:szCs w:val="24"/>
        </w:rPr>
      </w:pPr>
      <w:proofErr w:type="gramStart"/>
      <w:r w:rsidRPr="006173F1">
        <w:rPr>
          <w:rFonts w:ascii="Century Gothic" w:hAnsi="Century Gothic"/>
          <w:b/>
          <w:sz w:val="24"/>
          <w:szCs w:val="24"/>
        </w:rPr>
        <w:t>a</w:t>
      </w:r>
      <w:proofErr w:type="gramEnd"/>
      <w:r w:rsidRPr="006173F1">
        <w:rPr>
          <w:rFonts w:ascii="Century Gothic" w:hAnsi="Century Gothic"/>
          <w:b/>
          <w:sz w:val="24"/>
          <w:szCs w:val="24"/>
        </w:rPr>
        <w:t xml:space="preserve"> ¿Cuántas demandas activas en contra tenía la entidad a 31 de diciembre de 2018?</w:t>
      </w:r>
    </w:p>
    <w:p w:rsidR="006173F1" w:rsidRPr="00187F45" w:rsidRDefault="006173F1" w:rsidP="005F573C">
      <w:pPr>
        <w:pStyle w:val="Sinespaciado"/>
        <w:jc w:val="both"/>
        <w:rPr>
          <w:rFonts w:ascii="Century Gothic" w:hAnsi="Century Gothic"/>
          <w:b/>
          <w:sz w:val="24"/>
          <w:szCs w:val="24"/>
        </w:rPr>
      </w:pPr>
    </w:p>
    <w:p w:rsidR="006173F1" w:rsidRPr="00187F45" w:rsidRDefault="006173F1" w:rsidP="005F573C">
      <w:pPr>
        <w:pStyle w:val="Sinespaciado"/>
        <w:jc w:val="both"/>
        <w:rPr>
          <w:rFonts w:ascii="Century Gothic" w:hAnsi="Century Gothic"/>
          <w:sz w:val="24"/>
          <w:szCs w:val="24"/>
        </w:rPr>
      </w:pPr>
      <w:r w:rsidRPr="00187F45">
        <w:rPr>
          <w:rFonts w:ascii="Century Gothic" w:hAnsi="Century Gothic"/>
          <w:sz w:val="24"/>
          <w:szCs w:val="24"/>
        </w:rPr>
        <w:t>La  ESE Hospital Regional de Sogamoso a corte 31 de Diciembre de 2018, tenía  25   demandas activas, las cuales se clasifican, así: 7 Acciones de Nulidad y Restablecimiento del derecho, 17 Acciones de Reparación Directa y Dos proceso ordinario laboral.</w:t>
      </w:r>
    </w:p>
    <w:p w:rsidR="006173F1" w:rsidRPr="006173F1" w:rsidRDefault="006173F1" w:rsidP="005F573C">
      <w:pPr>
        <w:pStyle w:val="Sinespaciado"/>
        <w:jc w:val="both"/>
        <w:rPr>
          <w:rFonts w:ascii="Century Gothic" w:hAnsi="Century Gothic"/>
          <w:color w:val="FF0000"/>
          <w:sz w:val="24"/>
          <w:szCs w:val="24"/>
        </w:rPr>
      </w:pPr>
    </w:p>
    <w:p w:rsidR="006173F1" w:rsidRDefault="006173F1" w:rsidP="005F573C">
      <w:pPr>
        <w:pStyle w:val="Sinespaciado"/>
        <w:jc w:val="both"/>
        <w:rPr>
          <w:rFonts w:ascii="Century Gothic" w:hAnsi="Century Gothic"/>
          <w:b/>
          <w:sz w:val="24"/>
          <w:szCs w:val="24"/>
        </w:rPr>
      </w:pPr>
      <w:proofErr w:type="gramStart"/>
      <w:r w:rsidRPr="006173F1">
        <w:rPr>
          <w:rFonts w:ascii="Century Gothic" w:hAnsi="Century Gothic"/>
          <w:b/>
          <w:sz w:val="24"/>
          <w:szCs w:val="24"/>
        </w:rPr>
        <w:t>b</w:t>
      </w:r>
      <w:proofErr w:type="gramEnd"/>
      <w:r w:rsidRPr="006173F1">
        <w:rPr>
          <w:rFonts w:ascii="Century Gothic" w:hAnsi="Century Gothic"/>
          <w:b/>
          <w:sz w:val="24"/>
          <w:szCs w:val="24"/>
        </w:rPr>
        <w:t xml:space="preserve"> ¿Cuál es el valor de las pretensiones de las demandas activas en contra de la entidad al 31 de diciembre de 2018?</w:t>
      </w:r>
    </w:p>
    <w:p w:rsidR="006173F1" w:rsidRPr="006173F1" w:rsidRDefault="006173F1" w:rsidP="005F573C">
      <w:pPr>
        <w:pStyle w:val="Sinespaciado"/>
        <w:jc w:val="both"/>
        <w:rPr>
          <w:rFonts w:ascii="Century Gothic" w:hAnsi="Century Gothic"/>
          <w:b/>
          <w:sz w:val="24"/>
          <w:szCs w:val="24"/>
        </w:rPr>
      </w:pPr>
    </w:p>
    <w:p w:rsidR="006173F1" w:rsidRPr="006173F1" w:rsidRDefault="006173F1" w:rsidP="005F573C">
      <w:pPr>
        <w:pStyle w:val="Sinespaciado"/>
        <w:jc w:val="both"/>
        <w:rPr>
          <w:rFonts w:ascii="Century Gothic" w:hAnsi="Century Gothic"/>
          <w:sz w:val="24"/>
          <w:szCs w:val="24"/>
        </w:rPr>
      </w:pPr>
      <w:r w:rsidRPr="006173F1">
        <w:rPr>
          <w:rFonts w:ascii="Century Gothic" w:hAnsi="Century Gothic"/>
          <w:noProof/>
          <w:sz w:val="24"/>
          <w:szCs w:val="24"/>
          <w:lang w:eastAsia="es-CO"/>
        </w:rPr>
        <w:drawing>
          <wp:inline distT="0" distB="0" distL="0" distR="0">
            <wp:extent cx="5614670" cy="3347085"/>
            <wp:effectExtent l="0" t="0" r="508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4670" cy="3347085"/>
                    </a:xfrm>
                    <a:prstGeom prst="rect">
                      <a:avLst/>
                    </a:prstGeom>
                    <a:noFill/>
                  </pic:spPr>
                </pic:pic>
              </a:graphicData>
            </a:graphic>
          </wp:inline>
        </w:drawing>
      </w:r>
    </w:p>
    <w:p w:rsidR="006173F1" w:rsidRDefault="006173F1" w:rsidP="005F573C">
      <w:pPr>
        <w:pStyle w:val="Sinespaciado"/>
        <w:jc w:val="both"/>
        <w:rPr>
          <w:rFonts w:ascii="Century Gothic" w:hAnsi="Century Gothic"/>
          <w:sz w:val="24"/>
          <w:szCs w:val="24"/>
        </w:rPr>
      </w:pPr>
    </w:p>
    <w:p w:rsid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lastRenderedPageBreak/>
        <w:t>118. Con respecto a las sentencias ejecutoriadas que fueron notificadas a la entidad en la vigencia valuada indique:</w:t>
      </w:r>
    </w:p>
    <w:p w:rsidR="006173F1" w:rsidRPr="006173F1" w:rsidRDefault="006173F1" w:rsidP="005F573C">
      <w:pPr>
        <w:pStyle w:val="Sinespaciado"/>
        <w:jc w:val="both"/>
        <w:rPr>
          <w:rFonts w:ascii="Century Gothic" w:hAnsi="Century Gothic"/>
          <w:b/>
          <w:sz w:val="24"/>
          <w:szCs w:val="24"/>
        </w:rPr>
      </w:pP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a</w:t>
      </w:r>
      <w:proofErr w:type="gramEnd"/>
      <w:r w:rsidRPr="006173F1">
        <w:rPr>
          <w:rFonts w:ascii="Century Gothic" w:hAnsi="Century Gothic"/>
          <w:sz w:val="24"/>
          <w:szCs w:val="24"/>
        </w:rPr>
        <w:t xml:space="preserve"> ¿Cuántas fueron favorables a la entidad?</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¿Cuántas fueron desfavorables a la entidad?</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c</w:t>
      </w:r>
      <w:proofErr w:type="gramEnd"/>
      <w:r w:rsidRPr="006173F1">
        <w:rPr>
          <w:rFonts w:ascii="Century Gothic" w:hAnsi="Century Gothic"/>
          <w:sz w:val="24"/>
          <w:szCs w:val="24"/>
        </w:rPr>
        <w:t xml:space="preserve"> ¿Cuántas tuvieron fallo inhibitorio?</w:t>
      </w:r>
    </w:p>
    <w:p w:rsidR="006173F1" w:rsidRPr="006173F1" w:rsidRDefault="006173F1" w:rsidP="005F573C">
      <w:pPr>
        <w:pStyle w:val="Sinespaciado"/>
        <w:jc w:val="both"/>
        <w:rPr>
          <w:rFonts w:ascii="Century Gothic" w:hAnsi="Century Gothic"/>
          <w:sz w:val="24"/>
          <w:szCs w:val="24"/>
        </w:rPr>
      </w:pPr>
    </w:p>
    <w:p w:rsidR="006173F1" w:rsidRPr="00187F45" w:rsidRDefault="006173F1" w:rsidP="005F573C">
      <w:pPr>
        <w:pStyle w:val="Sinespaciado"/>
        <w:jc w:val="both"/>
        <w:rPr>
          <w:rFonts w:ascii="Century Gothic" w:hAnsi="Century Gothic"/>
          <w:sz w:val="24"/>
          <w:szCs w:val="24"/>
        </w:rPr>
      </w:pPr>
      <w:r w:rsidRPr="00187F45">
        <w:rPr>
          <w:rFonts w:ascii="Century Gothic" w:hAnsi="Century Gothic"/>
          <w:sz w:val="24"/>
          <w:szCs w:val="24"/>
        </w:rPr>
        <w:t>Dentro de los procesos judiciales que cursan en contra de la ESE Hospital regional Sogamoso para la vigencia 2018, no se han proferido sentencias, por lo tanto no se han proferido fallos inhibitorios</w:t>
      </w:r>
    </w:p>
    <w:p w:rsidR="006173F1" w:rsidRPr="006173F1" w:rsidRDefault="006173F1" w:rsidP="005F573C">
      <w:pPr>
        <w:pStyle w:val="Sinespaciado"/>
        <w:jc w:val="both"/>
        <w:rPr>
          <w:rFonts w:ascii="Century Gothic" w:hAnsi="Century Gothic"/>
          <w:sz w:val="24"/>
          <w:szCs w:val="24"/>
        </w:rPr>
      </w:pPr>
    </w:p>
    <w:p w:rsidR="006173F1" w:rsidRP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 xml:space="preserve">119. ¿La entidad cuenta con un sistema de información o base de datos que contenga el inventario completo de los procesos judiciales en los que es parte? </w:t>
      </w:r>
    </w:p>
    <w:p w:rsidR="006173F1" w:rsidRPr="006173F1" w:rsidRDefault="006173F1" w:rsidP="005F573C">
      <w:pPr>
        <w:pStyle w:val="Sinespaciado"/>
        <w:jc w:val="both"/>
        <w:rPr>
          <w:rFonts w:ascii="Century Gothic" w:hAnsi="Century Gothic"/>
          <w:sz w:val="24"/>
          <w:szCs w:val="24"/>
        </w:rPr>
      </w:pPr>
      <w:r>
        <w:rPr>
          <w:rFonts w:ascii="Century Gothic" w:hAnsi="Century Gothic"/>
          <w:sz w:val="24"/>
          <w:szCs w:val="24"/>
        </w:rPr>
        <w:t xml:space="preserve"> </w:t>
      </w:r>
    </w:p>
    <w:p w:rsidR="006173F1" w:rsidRPr="006173F1" w:rsidRDefault="006173F1" w:rsidP="005F573C">
      <w:pPr>
        <w:pStyle w:val="Sinespaciado"/>
        <w:jc w:val="both"/>
        <w:rPr>
          <w:rFonts w:ascii="Century Gothic" w:hAnsi="Century Gothic"/>
          <w:b/>
          <w:sz w:val="24"/>
          <w:szCs w:val="24"/>
          <w:u w:val="single"/>
        </w:rPr>
      </w:pPr>
      <w:proofErr w:type="gramStart"/>
      <w:r w:rsidRPr="006173F1">
        <w:rPr>
          <w:rFonts w:ascii="Century Gothic" w:hAnsi="Century Gothic"/>
          <w:b/>
          <w:sz w:val="24"/>
          <w:szCs w:val="24"/>
          <w:u w:val="single"/>
        </w:rPr>
        <w:t>a</w:t>
      </w:r>
      <w:proofErr w:type="gramEnd"/>
      <w:r w:rsidRPr="006173F1">
        <w:rPr>
          <w:rFonts w:ascii="Century Gothic" w:hAnsi="Century Gothic"/>
          <w:b/>
          <w:sz w:val="24"/>
          <w:szCs w:val="24"/>
          <w:u w:val="single"/>
        </w:rPr>
        <w:t xml:space="preserve"> Si, y cuenta con las evidencias:</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Parcialmente, y cuenta con las evidencias:</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c</w:t>
      </w:r>
      <w:proofErr w:type="gramEnd"/>
      <w:r w:rsidRPr="006173F1">
        <w:rPr>
          <w:rFonts w:ascii="Century Gothic" w:hAnsi="Century Gothic"/>
          <w:sz w:val="24"/>
          <w:szCs w:val="24"/>
        </w:rPr>
        <w:t xml:space="preserve"> No</w:t>
      </w:r>
    </w:p>
    <w:p w:rsidR="006173F1" w:rsidRDefault="006173F1" w:rsidP="005F573C">
      <w:pPr>
        <w:pStyle w:val="Sinespaciado"/>
        <w:jc w:val="both"/>
        <w:rPr>
          <w:rFonts w:ascii="Century Gothic" w:hAnsi="Century Gothic"/>
          <w:sz w:val="24"/>
          <w:szCs w:val="24"/>
        </w:rPr>
      </w:pPr>
    </w:p>
    <w:p w:rsid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120. ¿La entidad diseña las políticas ge</w:t>
      </w:r>
      <w:r>
        <w:rPr>
          <w:rFonts w:ascii="Century Gothic" w:hAnsi="Century Gothic"/>
          <w:b/>
          <w:sz w:val="24"/>
          <w:szCs w:val="24"/>
        </w:rPr>
        <w:t xml:space="preserve">nerales que orientan la defensa técnica de los intereses de la </w:t>
      </w:r>
      <w:r w:rsidRPr="006173F1">
        <w:rPr>
          <w:rFonts w:ascii="Century Gothic" w:hAnsi="Century Gothic"/>
          <w:b/>
          <w:sz w:val="24"/>
          <w:szCs w:val="24"/>
        </w:rPr>
        <w:t xml:space="preserve">entidad? </w:t>
      </w:r>
    </w:p>
    <w:p w:rsidR="006173F1" w:rsidRPr="006173F1" w:rsidRDefault="006173F1" w:rsidP="005F573C">
      <w:pPr>
        <w:pStyle w:val="Sinespaciado"/>
        <w:jc w:val="both"/>
        <w:rPr>
          <w:rFonts w:ascii="Century Gothic" w:hAnsi="Century Gothic"/>
          <w:b/>
          <w:sz w:val="24"/>
          <w:szCs w:val="24"/>
        </w:rPr>
      </w:pPr>
    </w:p>
    <w:p w:rsidR="006173F1" w:rsidRPr="006173F1" w:rsidRDefault="006173F1" w:rsidP="005F573C">
      <w:pPr>
        <w:pStyle w:val="Sinespaciado"/>
        <w:jc w:val="both"/>
        <w:rPr>
          <w:rFonts w:ascii="Century Gothic" w:hAnsi="Century Gothic"/>
          <w:b/>
          <w:sz w:val="24"/>
          <w:szCs w:val="24"/>
          <w:u w:val="single"/>
        </w:rPr>
      </w:pPr>
      <w:proofErr w:type="gramStart"/>
      <w:r w:rsidRPr="006173F1">
        <w:rPr>
          <w:rFonts w:ascii="Century Gothic" w:hAnsi="Century Gothic"/>
          <w:b/>
          <w:sz w:val="24"/>
          <w:szCs w:val="24"/>
          <w:u w:val="single"/>
        </w:rPr>
        <w:t>a</w:t>
      </w:r>
      <w:proofErr w:type="gramEnd"/>
      <w:r w:rsidRPr="006173F1">
        <w:rPr>
          <w:rFonts w:ascii="Century Gothic" w:hAnsi="Century Gothic"/>
          <w:b/>
          <w:sz w:val="24"/>
          <w:szCs w:val="24"/>
          <w:u w:val="single"/>
        </w:rPr>
        <w:t xml:space="preserve"> Si, y cuenta con las evidencias:</w:t>
      </w:r>
    </w:p>
    <w:p w:rsid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No</w:t>
      </w:r>
    </w:p>
    <w:p w:rsidR="006173F1" w:rsidRPr="006173F1" w:rsidRDefault="006173F1" w:rsidP="005F573C">
      <w:pPr>
        <w:pStyle w:val="Sinespaciado"/>
        <w:jc w:val="both"/>
        <w:rPr>
          <w:rFonts w:ascii="Century Gothic" w:hAnsi="Century Gothic"/>
          <w:sz w:val="24"/>
          <w:szCs w:val="24"/>
        </w:rPr>
      </w:pPr>
    </w:p>
    <w:p w:rsidR="006173F1" w:rsidRPr="00187F45" w:rsidRDefault="006173F1" w:rsidP="005F573C">
      <w:pPr>
        <w:pStyle w:val="Sinespaciado"/>
        <w:jc w:val="both"/>
        <w:rPr>
          <w:rFonts w:ascii="Century Gothic" w:hAnsi="Century Gothic"/>
          <w:b/>
          <w:sz w:val="24"/>
          <w:szCs w:val="24"/>
        </w:rPr>
      </w:pPr>
      <w:r w:rsidRPr="00187F45">
        <w:rPr>
          <w:rFonts w:ascii="Century Gothic" w:hAnsi="Century Gothic"/>
          <w:b/>
          <w:sz w:val="24"/>
          <w:szCs w:val="24"/>
        </w:rPr>
        <w:t xml:space="preserve">121. En los estudios y/o análisis que realiza la entidad de los procesos que cursan o hayan cursado en su contra, con el fin de proponer correctivos, se determina: </w:t>
      </w:r>
    </w:p>
    <w:p w:rsidR="006173F1" w:rsidRPr="00187F45" w:rsidRDefault="006173F1" w:rsidP="005F573C">
      <w:pPr>
        <w:pStyle w:val="Sinespaciado"/>
        <w:jc w:val="both"/>
        <w:rPr>
          <w:rFonts w:ascii="Century Gothic" w:hAnsi="Century Gothic"/>
          <w:b/>
          <w:sz w:val="24"/>
          <w:szCs w:val="24"/>
        </w:rPr>
      </w:pPr>
    </w:p>
    <w:p w:rsidR="006173F1" w:rsidRPr="00187F45" w:rsidRDefault="006173F1" w:rsidP="005F573C">
      <w:pPr>
        <w:pStyle w:val="Sinespaciado"/>
        <w:jc w:val="both"/>
        <w:rPr>
          <w:rFonts w:ascii="Century Gothic" w:hAnsi="Century Gothic"/>
          <w:sz w:val="24"/>
          <w:szCs w:val="24"/>
        </w:rPr>
      </w:pPr>
      <w:proofErr w:type="gramStart"/>
      <w:r w:rsidRPr="00187F45">
        <w:rPr>
          <w:rFonts w:ascii="Century Gothic" w:hAnsi="Century Gothic"/>
          <w:sz w:val="24"/>
          <w:szCs w:val="24"/>
        </w:rPr>
        <w:t>a</w:t>
      </w:r>
      <w:proofErr w:type="gramEnd"/>
      <w:r w:rsidRPr="00187F45">
        <w:rPr>
          <w:rFonts w:ascii="Century Gothic" w:hAnsi="Century Gothic"/>
          <w:sz w:val="24"/>
          <w:szCs w:val="24"/>
        </w:rPr>
        <w:t xml:space="preserve"> Las causas generadoras de los conflictos</w:t>
      </w:r>
    </w:p>
    <w:p w:rsidR="006173F1" w:rsidRPr="00187F45" w:rsidRDefault="006173F1" w:rsidP="005F573C">
      <w:pPr>
        <w:pStyle w:val="Sinespaciado"/>
        <w:jc w:val="both"/>
        <w:rPr>
          <w:rFonts w:ascii="Century Gothic" w:hAnsi="Century Gothic"/>
          <w:sz w:val="24"/>
          <w:szCs w:val="24"/>
        </w:rPr>
      </w:pPr>
      <w:proofErr w:type="gramStart"/>
      <w:r w:rsidRPr="00187F45">
        <w:rPr>
          <w:rFonts w:ascii="Century Gothic" w:hAnsi="Century Gothic"/>
          <w:sz w:val="24"/>
          <w:szCs w:val="24"/>
        </w:rPr>
        <w:t>b</w:t>
      </w:r>
      <w:proofErr w:type="gramEnd"/>
      <w:r w:rsidRPr="00187F45">
        <w:rPr>
          <w:rFonts w:ascii="Century Gothic" w:hAnsi="Century Gothic"/>
          <w:sz w:val="24"/>
          <w:szCs w:val="24"/>
        </w:rPr>
        <w:t xml:space="preserve"> El índice de condenas</w:t>
      </w:r>
    </w:p>
    <w:p w:rsidR="006173F1" w:rsidRPr="00187F45" w:rsidRDefault="006173F1" w:rsidP="005F573C">
      <w:pPr>
        <w:pStyle w:val="Sinespaciado"/>
        <w:jc w:val="both"/>
        <w:rPr>
          <w:rFonts w:ascii="Century Gothic" w:hAnsi="Century Gothic"/>
          <w:sz w:val="24"/>
          <w:szCs w:val="24"/>
        </w:rPr>
      </w:pPr>
      <w:proofErr w:type="gramStart"/>
      <w:r w:rsidRPr="00187F45">
        <w:rPr>
          <w:rFonts w:ascii="Century Gothic" w:hAnsi="Century Gothic"/>
          <w:sz w:val="24"/>
          <w:szCs w:val="24"/>
        </w:rPr>
        <w:t>c</w:t>
      </w:r>
      <w:proofErr w:type="gramEnd"/>
      <w:r w:rsidRPr="00187F45">
        <w:rPr>
          <w:rFonts w:ascii="Century Gothic" w:hAnsi="Century Gothic"/>
          <w:sz w:val="24"/>
          <w:szCs w:val="24"/>
        </w:rPr>
        <w:t xml:space="preserve"> Los tipos de daño por los cuales resulta demandada o condenada la entidad</w:t>
      </w:r>
    </w:p>
    <w:p w:rsidR="006173F1" w:rsidRPr="00187F45" w:rsidRDefault="006173F1" w:rsidP="005F573C">
      <w:pPr>
        <w:pStyle w:val="Sinespaciado"/>
        <w:jc w:val="both"/>
        <w:rPr>
          <w:rFonts w:ascii="Century Gothic" w:hAnsi="Century Gothic"/>
          <w:sz w:val="24"/>
          <w:szCs w:val="24"/>
        </w:rPr>
      </w:pPr>
      <w:proofErr w:type="gramStart"/>
      <w:r w:rsidRPr="00187F45">
        <w:rPr>
          <w:rFonts w:ascii="Century Gothic" w:hAnsi="Century Gothic"/>
          <w:sz w:val="24"/>
          <w:szCs w:val="24"/>
        </w:rPr>
        <w:t>d</w:t>
      </w:r>
      <w:proofErr w:type="gramEnd"/>
      <w:r w:rsidRPr="00187F45">
        <w:rPr>
          <w:rFonts w:ascii="Century Gothic" w:hAnsi="Century Gothic"/>
          <w:sz w:val="24"/>
          <w:szCs w:val="24"/>
        </w:rPr>
        <w:t xml:space="preserve"> Las deficiencias en las actuaciones administrativas de las entidades</w:t>
      </w:r>
    </w:p>
    <w:p w:rsidR="006173F1" w:rsidRPr="00187F45" w:rsidRDefault="006173F1" w:rsidP="005F573C">
      <w:pPr>
        <w:pStyle w:val="Sinespaciado"/>
        <w:jc w:val="both"/>
        <w:rPr>
          <w:rFonts w:ascii="Century Gothic" w:hAnsi="Century Gothic"/>
          <w:sz w:val="24"/>
          <w:szCs w:val="24"/>
        </w:rPr>
      </w:pPr>
      <w:proofErr w:type="gramStart"/>
      <w:r w:rsidRPr="00187F45">
        <w:rPr>
          <w:rFonts w:ascii="Century Gothic" w:hAnsi="Century Gothic"/>
          <w:sz w:val="24"/>
          <w:szCs w:val="24"/>
        </w:rPr>
        <w:t>e</w:t>
      </w:r>
      <w:proofErr w:type="gramEnd"/>
      <w:r w:rsidRPr="00187F45">
        <w:rPr>
          <w:rFonts w:ascii="Century Gothic" w:hAnsi="Century Gothic"/>
          <w:sz w:val="24"/>
          <w:szCs w:val="24"/>
        </w:rPr>
        <w:t xml:space="preserve"> Las deficiencias de las actuaciones procesales por parte de los apoderados de la entidad</w:t>
      </w:r>
    </w:p>
    <w:p w:rsidR="006173F1" w:rsidRPr="00187F45" w:rsidRDefault="006173F1" w:rsidP="005F573C">
      <w:pPr>
        <w:pStyle w:val="Sinespaciado"/>
        <w:jc w:val="both"/>
        <w:rPr>
          <w:rFonts w:ascii="Century Gothic" w:hAnsi="Century Gothic"/>
          <w:sz w:val="24"/>
          <w:szCs w:val="24"/>
        </w:rPr>
      </w:pPr>
      <w:proofErr w:type="gramStart"/>
      <w:r w:rsidRPr="00187F45">
        <w:rPr>
          <w:rFonts w:ascii="Century Gothic" w:hAnsi="Century Gothic"/>
          <w:sz w:val="24"/>
          <w:szCs w:val="24"/>
        </w:rPr>
        <w:t>f</w:t>
      </w:r>
      <w:proofErr w:type="gramEnd"/>
      <w:r w:rsidRPr="00187F45">
        <w:rPr>
          <w:rFonts w:ascii="Century Gothic" w:hAnsi="Century Gothic"/>
          <w:sz w:val="24"/>
          <w:szCs w:val="24"/>
        </w:rPr>
        <w:t xml:space="preserve"> Ingrese la URL, documento o evidencia de las respuestas seleccionadas:</w:t>
      </w:r>
    </w:p>
    <w:p w:rsidR="006173F1" w:rsidRPr="00187F45" w:rsidRDefault="006173F1" w:rsidP="005F573C">
      <w:pPr>
        <w:pStyle w:val="Sinespaciado"/>
        <w:jc w:val="both"/>
        <w:rPr>
          <w:rFonts w:ascii="Century Gothic" w:hAnsi="Century Gothic"/>
          <w:sz w:val="24"/>
          <w:szCs w:val="24"/>
        </w:rPr>
      </w:pPr>
      <w:proofErr w:type="gramStart"/>
      <w:r w:rsidRPr="00187F45">
        <w:rPr>
          <w:rFonts w:ascii="Century Gothic" w:hAnsi="Century Gothic"/>
          <w:sz w:val="24"/>
          <w:szCs w:val="24"/>
        </w:rPr>
        <w:t>g</w:t>
      </w:r>
      <w:proofErr w:type="gramEnd"/>
      <w:r w:rsidRPr="00187F45">
        <w:rPr>
          <w:rFonts w:ascii="Century Gothic" w:hAnsi="Century Gothic"/>
          <w:sz w:val="24"/>
          <w:szCs w:val="24"/>
        </w:rPr>
        <w:t xml:space="preserve"> Ninguna de las anteriores</w:t>
      </w:r>
    </w:p>
    <w:p w:rsidR="006173F1" w:rsidRPr="00187F45" w:rsidRDefault="006173F1" w:rsidP="005F573C">
      <w:pPr>
        <w:pStyle w:val="Sinespaciado"/>
        <w:jc w:val="both"/>
        <w:rPr>
          <w:rFonts w:ascii="Century Gothic" w:hAnsi="Century Gothic"/>
          <w:sz w:val="24"/>
          <w:szCs w:val="24"/>
        </w:rPr>
      </w:pPr>
      <w:proofErr w:type="gramStart"/>
      <w:r w:rsidRPr="00187F45">
        <w:rPr>
          <w:rFonts w:ascii="Century Gothic" w:hAnsi="Century Gothic"/>
          <w:sz w:val="24"/>
          <w:szCs w:val="24"/>
        </w:rPr>
        <w:t>h</w:t>
      </w:r>
      <w:proofErr w:type="gramEnd"/>
      <w:r w:rsidRPr="00187F45">
        <w:rPr>
          <w:rFonts w:ascii="Century Gothic" w:hAnsi="Century Gothic"/>
          <w:sz w:val="24"/>
          <w:szCs w:val="24"/>
        </w:rPr>
        <w:t xml:space="preserve"> No aplica porque no han tenido ni tienen procesos en contra</w:t>
      </w:r>
    </w:p>
    <w:p w:rsidR="006173F1" w:rsidRDefault="006173F1" w:rsidP="005F573C">
      <w:pPr>
        <w:pStyle w:val="Sinespaciado"/>
        <w:jc w:val="both"/>
        <w:rPr>
          <w:rFonts w:ascii="Century Gothic" w:hAnsi="Century Gothic"/>
          <w:sz w:val="24"/>
          <w:szCs w:val="24"/>
        </w:rPr>
      </w:pPr>
    </w:p>
    <w:p w:rsidR="00187F45" w:rsidRDefault="00187F45" w:rsidP="005F573C">
      <w:pPr>
        <w:pStyle w:val="Sinespaciado"/>
        <w:jc w:val="both"/>
        <w:rPr>
          <w:rFonts w:ascii="Century Gothic" w:hAnsi="Century Gothic"/>
          <w:sz w:val="24"/>
          <w:szCs w:val="24"/>
        </w:rPr>
      </w:pPr>
    </w:p>
    <w:p w:rsidR="00187F45" w:rsidRDefault="00187F45" w:rsidP="005F573C">
      <w:pPr>
        <w:pStyle w:val="Sinespaciado"/>
        <w:jc w:val="both"/>
        <w:rPr>
          <w:rFonts w:ascii="Century Gothic" w:hAnsi="Century Gothic"/>
          <w:sz w:val="24"/>
          <w:szCs w:val="24"/>
        </w:rPr>
      </w:pPr>
    </w:p>
    <w:p w:rsidR="00187F45" w:rsidRDefault="00187F45" w:rsidP="005F573C">
      <w:pPr>
        <w:pStyle w:val="Sinespaciado"/>
        <w:jc w:val="both"/>
        <w:rPr>
          <w:rFonts w:ascii="Century Gothic" w:hAnsi="Century Gothic"/>
          <w:sz w:val="24"/>
          <w:szCs w:val="24"/>
        </w:rPr>
      </w:pPr>
    </w:p>
    <w:p w:rsidR="00187F45" w:rsidRDefault="00187F45" w:rsidP="005F573C">
      <w:pPr>
        <w:pStyle w:val="Sinespaciado"/>
        <w:jc w:val="both"/>
        <w:rPr>
          <w:rFonts w:ascii="Century Gothic" w:hAnsi="Century Gothic"/>
          <w:sz w:val="24"/>
          <w:szCs w:val="24"/>
        </w:rPr>
      </w:pPr>
    </w:p>
    <w:p w:rsidR="00187F45" w:rsidRDefault="00187F45" w:rsidP="005F573C">
      <w:pPr>
        <w:pStyle w:val="Sinespaciado"/>
        <w:jc w:val="both"/>
        <w:rPr>
          <w:rFonts w:ascii="Century Gothic" w:hAnsi="Century Gothic"/>
          <w:sz w:val="24"/>
          <w:szCs w:val="24"/>
        </w:rPr>
      </w:pPr>
    </w:p>
    <w:p w:rsidR="006173F1" w:rsidRDefault="006173F1" w:rsidP="005F573C">
      <w:pPr>
        <w:pStyle w:val="Sinespaciado"/>
        <w:jc w:val="both"/>
        <w:rPr>
          <w:rFonts w:ascii="Century Gothic" w:hAnsi="Century Gothic"/>
          <w:b/>
          <w:sz w:val="24"/>
          <w:szCs w:val="24"/>
        </w:rPr>
      </w:pPr>
      <w:r w:rsidRPr="006173F1">
        <w:rPr>
          <w:rFonts w:ascii="Century Gothic" w:hAnsi="Century Gothic"/>
          <w:sz w:val="24"/>
          <w:szCs w:val="24"/>
        </w:rPr>
        <w:t>4</w:t>
      </w:r>
      <w:r w:rsidRPr="006173F1">
        <w:rPr>
          <w:rFonts w:ascii="Century Gothic" w:hAnsi="Century Gothic"/>
          <w:b/>
          <w:sz w:val="24"/>
          <w:szCs w:val="24"/>
        </w:rPr>
        <w:t>. 2. Sección 2</w:t>
      </w:r>
    </w:p>
    <w:p w:rsidR="006173F1" w:rsidRPr="006173F1" w:rsidRDefault="006173F1" w:rsidP="005F573C">
      <w:pPr>
        <w:pStyle w:val="Sinespaciado"/>
        <w:jc w:val="both"/>
        <w:rPr>
          <w:rFonts w:ascii="Century Gothic" w:hAnsi="Century Gothic"/>
          <w:b/>
          <w:sz w:val="24"/>
          <w:szCs w:val="24"/>
        </w:rPr>
      </w:pPr>
    </w:p>
    <w:p w:rsidR="006173F1" w:rsidRP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122. ¿La entidad cuenta con apoderados externos para la defensa de sus intereses litigiosos?</w:t>
      </w:r>
    </w:p>
    <w:p w:rsidR="006173F1" w:rsidRPr="006173F1" w:rsidRDefault="006173F1" w:rsidP="005F573C">
      <w:pPr>
        <w:pStyle w:val="Sinespaciado"/>
        <w:jc w:val="both"/>
        <w:rPr>
          <w:rFonts w:ascii="Century Gothic" w:hAnsi="Century Gothic"/>
          <w:b/>
          <w:sz w:val="24"/>
          <w:szCs w:val="24"/>
          <w:u w:val="single"/>
        </w:rPr>
      </w:pPr>
      <w:proofErr w:type="gramStart"/>
      <w:r w:rsidRPr="006173F1">
        <w:rPr>
          <w:rFonts w:ascii="Century Gothic" w:hAnsi="Century Gothic"/>
          <w:b/>
          <w:sz w:val="24"/>
          <w:szCs w:val="24"/>
          <w:u w:val="single"/>
        </w:rPr>
        <w:t>a</w:t>
      </w:r>
      <w:proofErr w:type="gramEnd"/>
      <w:r w:rsidRPr="006173F1">
        <w:rPr>
          <w:rFonts w:ascii="Century Gothic" w:hAnsi="Century Gothic"/>
          <w:b/>
          <w:sz w:val="24"/>
          <w:szCs w:val="24"/>
          <w:u w:val="single"/>
        </w:rPr>
        <w:t xml:space="preserve"> Si</w:t>
      </w:r>
    </w:p>
    <w:p w:rsid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No</w:t>
      </w:r>
    </w:p>
    <w:p w:rsidR="006173F1" w:rsidRPr="006173F1" w:rsidRDefault="006173F1" w:rsidP="005F573C">
      <w:pPr>
        <w:pStyle w:val="Sinespaciado"/>
        <w:jc w:val="both"/>
        <w:rPr>
          <w:rFonts w:ascii="Century Gothic" w:hAnsi="Century Gothic"/>
          <w:sz w:val="24"/>
          <w:szCs w:val="24"/>
        </w:rPr>
      </w:pPr>
    </w:p>
    <w:p w:rsid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123. ¿La entidad define los criterios para la selección de los apoderados externos?</w:t>
      </w:r>
    </w:p>
    <w:p w:rsidR="006173F1" w:rsidRPr="006173F1" w:rsidRDefault="006173F1" w:rsidP="005F573C">
      <w:pPr>
        <w:pStyle w:val="Sinespaciado"/>
        <w:jc w:val="both"/>
        <w:rPr>
          <w:rFonts w:ascii="Century Gothic" w:hAnsi="Century Gothic"/>
          <w:b/>
          <w:sz w:val="24"/>
          <w:szCs w:val="24"/>
        </w:rPr>
      </w:pPr>
    </w:p>
    <w:p w:rsidR="006173F1" w:rsidRPr="006173F1" w:rsidRDefault="006173F1" w:rsidP="005F573C">
      <w:pPr>
        <w:pStyle w:val="Sinespaciado"/>
        <w:jc w:val="both"/>
        <w:rPr>
          <w:rFonts w:ascii="Century Gothic" w:hAnsi="Century Gothic"/>
          <w:b/>
          <w:sz w:val="24"/>
          <w:szCs w:val="24"/>
        </w:rPr>
      </w:pPr>
      <w:proofErr w:type="gramStart"/>
      <w:r w:rsidRPr="006173F1">
        <w:rPr>
          <w:rFonts w:ascii="Century Gothic" w:hAnsi="Century Gothic"/>
          <w:b/>
          <w:sz w:val="24"/>
          <w:szCs w:val="24"/>
        </w:rPr>
        <w:t>a</w:t>
      </w:r>
      <w:proofErr w:type="gramEnd"/>
      <w:r w:rsidRPr="006173F1">
        <w:rPr>
          <w:rFonts w:ascii="Century Gothic" w:hAnsi="Century Gothic"/>
          <w:b/>
          <w:sz w:val="24"/>
          <w:szCs w:val="24"/>
        </w:rPr>
        <w:t xml:space="preserve"> Si, y cuenta con las evidencias:</w:t>
      </w:r>
    </w:p>
    <w:p w:rsid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No</w:t>
      </w:r>
    </w:p>
    <w:p w:rsidR="006173F1" w:rsidRPr="006173F1" w:rsidRDefault="006173F1" w:rsidP="005F573C">
      <w:pPr>
        <w:pStyle w:val="Sinespaciado"/>
        <w:jc w:val="both"/>
        <w:rPr>
          <w:rFonts w:ascii="Century Gothic" w:hAnsi="Century Gothic"/>
          <w:sz w:val="24"/>
          <w:szCs w:val="24"/>
        </w:rPr>
      </w:pPr>
    </w:p>
    <w:p w:rsidR="006173F1" w:rsidRP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124. ¿La entidad realiza seguimiento a los procesos encomendados a los apoderados externos?</w:t>
      </w:r>
    </w:p>
    <w:p w:rsidR="006173F1" w:rsidRPr="005F573C" w:rsidRDefault="006173F1" w:rsidP="005F573C">
      <w:pPr>
        <w:pStyle w:val="Sinespaciado"/>
        <w:jc w:val="both"/>
        <w:rPr>
          <w:rFonts w:ascii="Century Gothic" w:hAnsi="Century Gothic"/>
          <w:b/>
          <w:sz w:val="24"/>
          <w:szCs w:val="24"/>
          <w:u w:val="single"/>
        </w:rPr>
      </w:pPr>
      <w:proofErr w:type="gramStart"/>
      <w:r w:rsidRPr="005F573C">
        <w:rPr>
          <w:rFonts w:ascii="Century Gothic" w:hAnsi="Century Gothic"/>
          <w:b/>
          <w:sz w:val="24"/>
          <w:szCs w:val="24"/>
          <w:u w:val="single"/>
        </w:rPr>
        <w:t>a</w:t>
      </w:r>
      <w:proofErr w:type="gramEnd"/>
      <w:r w:rsidRPr="005F573C">
        <w:rPr>
          <w:rFonts w:ascii="Century Gothic" w:hAnsi="Century Gothic"/>
          <w:b/>
          <w:sz w:val="24"/>
          <w:szCs w:val="24"/>
          <w:u w:val="single"/>
        </w:rPr>
        <w:t xml:space="preserve"> Si, y cuenta con las evidencias:</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Parcialmente, y cuenta con las evidencias:</w:t>
      </w:r>
    </w:p>
    <w:p w:rsid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c</w:t>
      </w:r>
      <w:proofErr w:type="gramEnd"/>
      <w:r w:rsidRPr="006173F1">
        <w:rPr>
          <w:rFonts w:ascii="Century Gothic" w:hAnsi="Century Gothic"/>
          <w:sz w:val="24"/>
          <w:szCs w:val="24"/>
        </w:rPr>
        <w:t xml:space="preserve"> No</w:t>
      </w:r>
    </w:p>
    <w:p w:rsidR="006173F1" w:rsidRPr="006173F1" w:rsidRDefault="006173F1" w:rsidP="005F573C">
      <w:pPr>
        <w:pStyle w:val="Sinespaciado"/>
        <w:jc w:val="both"/>
        <w:rPr>
          <w:rFonts w:ascii="Century Gothic" w:hAnsi="Century Gothic"/>
          <w:sz w:val="24"/>
          <w:szCs w:val="24"/>
        </w:rPr>
      </w:pPr>
    </w:p>
    <w:p w:rsidR="006173F1" w:rsidRDefault="006173F1" w:rsidP="005F573C">
      <w:pPr>
        <w:pStyle w:val="Sinespaciado"/>
        <w:jc w:val="both"/>
        <w:rPr>
          <w:rFonts w:ascii="Century Gothic" w:hAnsi="Century Gothic"/>
          <w:b/>
          <w:sz w:val="24"/>
          <w:szCs w:val="24"/>
        </w:rPr>
      </w:pPr>
      <w:r w:rsidRPr="006173F1">
        <w:rPr>
          <w:rFonts w:ascii="Century Gothic" w:hAnsi="Century Gothic"/>
          <w:b/>
          <w:sz w:val="24"/>
          <w:szCs w:val="24"/>
        </w:rPr>
        <w:t>125</w:t>
      </w:r>
      <w:r w:rsidR="005F573C" w:rsidRPr="006173F1">
        <w:rPr>
          <w:rFonts w:ascii="Century Gothic" w:hAnsi="Century Gothic"/>
          <w:b/>
          <w:sz w:val="24"/>
          <w:szCs w:val="24"/>
        </w:rPr>
        <w:t>. Cuántos</w:t>
      </w:r>
      <w:r w:rsidRPr="006173F1">
        <w:rPr>
          <w:rFonts w:ascii="Century Gothic" w:hAnsi="Century Gothic"/>
          <w:b/>
          <w:sz w:val="24"/>
          <w:szCs w:val="24"/>
        </w:rPr>
        <w:t xml:space="preserve"> pagos efectuó la entidad en la </w:t>
      </w:r>
      <w:r>
        <w:rPr>
          <w:rFonts w:ascii="Century Gothic" w:hAnsi="Century Gothic"/>
          <w:b/>
          <w:sz w:val="24"/>
          <w:szCs w:val="24"/>
        </w:rPr>
        <w:t xml:space="preserve">vigencia evaluada por </w:t>
      </w:r>
      <w:r w:rsidRPr="006173F1">
        <w:rPr>
          <w:rFonts w:ascii="Century Gothic" w:hAnsi="Century Gothic"/>
          <w:b/>
          <w:sz w:val="24"/>
          <w:szCs w:val="24"/>
        </w:rPr>
        <w:t xml:space="preserve">concepto de cumplimiento o pago de: </w:t>
      </w:r>
    </w:p>
    <w:p w:rsidR="006173F1" w:rsidRPr="006173F1" w:rsidRDefault="006173F1" w:rsidP="005F573C">
      <w:pPr>
        <w:pStyle w:val="Sinespaciado"/>
        <w:jc w:val="both"/>
        <w:rPr>
          <w:rFonts w:ascii="Century Gothic" w:hAnsi="Century Gothic"/>
          <w:b/>
          <w:sz w:val="24"/>
          <w:szCs w:val="24"/>
        </w:rPr>
      </w:pP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a</w:t>
      </w:r>
      <w:proofErr w:type="gramEnd"/>
      <w:r w:rsidRPr="006173F1">
        <w:rPr>
          <w:rFonts w:ascii="Century Gothic" w:hAnsi="Century Gothic"/>
          <w:sz w:val="24"/>
          <w:szCs w:val="24"/>
        </w:rPr>
        <w:t xml:space="preserve"> Conciliaciones:</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b</w:t>
      </w:r>
      <w:proofErr w:type="gramEnd"/>
      <w:r w:rsidRPr="006173F1">
        <w:rPr>
          <w:rFonts w:ascii="Century Gothic" w:hAnsi="Century Gothic"/>
          <w:sz w:val="24"/>
          <w:szCs w:val="24"/>
        </w:rPr>
        <w:t xml:space="preserve"> Sentencias:</w:t>
      </w:r>
    </w:p>
    <w:p w:rsidR="006173F1" w:rsidRP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c</w:t>
      </w:r>
      <w:proofErr w:type="gramEnd"/>
      <w:r w:rsidRPr="006173F1">
        <w:rPr>
          <w:rFonts w:ascii="Century Gothic" w:hAnsi="Century Gothic"/>
          <w:sz w:val="24"/>
          <w:szCs w:val="24"/>
        </w:rPr>
        <w:t xml:space="preserve"> Laudos:</w:t>
      </w:r>
    </w:p>
    <w:p w:rsidR="006173F1" w:rsidRPr="005F573C" w:rsidRDefault="006173F1" w:rsidP="005F573C">
      <w:pPr>
        <w:pStyle w:val="Sinespaciado"/>
        <w:jc w:val="both"/>
        <w:rPr>
          <w:rFonts w:ascii="Century Gothic" w:hAnsi="Century Gothic"/>
          <w:b/>
          <w:sz w:val="24"/>
          <w:szCs w:val="24"/>
        </w:rPr>
      </w:pPr>
      <w:proofErr w:type="gramStart"/>
      <w:r w:rsidRPr="005F573C">
        <w:rPr>
          <w:rFonts w:ascii="Century Gothic" w:hAnsi="Century Gothic"/>
          <w:b/>
          <w:sz w:val="24"/>
          <w:szCs w:val="24"/>
        </w:rPr>
        <w:t>d</w:t>
      </w:r>
      <w:proofErr w:type="gramEnd"/>
      <w:r w:rsidRPr="005F573C">
        <w:rPr>
          <w:rFonts w:ascii="Century Gothic" w:hAnsi="Century Gothic"/>
          <w:b/>
          <w:sz w:val="24"/>
          <w:szCs w:val="24"/>
        </w:rPr>
        <w:t xml:space="preserve"> No realizó ningún pago</w:t>
      </w:r>
    </w:p>
    <w:p w:rsidR="005F573C" w:rsidRPr="006173F1" w:rsidRDefault="005F573C" w:rsidP="005F573C">
      <w:pPr>
        <w:pStyle w:val="Sinespaciado"/>
        <w:jc w:val="both"/>
        <w:rPr>
          <w:rFonts w:ascii="Century Gothic" w:hAnsi="Century Gothic"/>
          <w:sz w:val="24"/>
          <w:szCs w:val="24"/>
        </w:rPr>
      </w:pPr>
    </w:p>
    <w:p w:rsidR="006173F1" w:rsidRPr="005F573C" w:rsidRDefault="005F573C" w:rsidP="005F573C">
      <w:pPr>
        <w:pStyle w:val="Sinespaciado"/>
        <w:jc w:val="both"/>
        <w:rPr>
          <w:rFonts w:ascii="Century Gothic" w:hAnsi="Century Gothic"/>
          <w:b/>
          <w:sz w:val="24"/>
          <w:szCs w:val="24"/>
        </w:rPr>
      </w:pPr>
      <w:r w:rsidRPr="005F573C">
        <w:rPr>
          <w:rFonts w:ascii="Century Gothic" w:hAnsi="Century Gothic"/>
          <w:b/>
          <w:sz w:val="24"/>
          <w:szCs w:val="24"/>
        </w:rPr>
        <w:t xml:space="preserve">126. </w:t>
      </w:r>
      <w:r w:rsidR="006173F1" w:rsidRPr="005F573C">
        <w:rPr>
          <w:rFonts w:ascii="Century Gothic" w:hAnsi="Century Gothic"/>
          <w:b/>
          <w:sz w:val="24"/>
          <w:szCs w:val="24"/>
        </w:rPr>
        <w:t>Especifique el valor de los pagos efectuados por la entidad du</w:t>
      </w:r>
      <w:r w:rsidRPr="005F573C">
        <w:rPr>
          <w:rFonts w:ascii="Century Gothic" w:hAnsi="Century Gothic"/>
          <w:b/>
          <w:sz w:val="24"/>
          <w:szCs w:val="24"/>
        </w:rPr>
        <w:t xml:space="preserve">rante la vigencia evaluada, por </w:t>
      </w:r>
      <w:r w:rsidR="006173F1" w:rsidRPr="005F573C">
        <w:rPr>
          <w:rFonts w:ascii="Century Gothic" w:hAnsi="Century Gothic"/>
          <w:b/>
          <w:sz w:val="24"/>
          <w:szCs w:val="24"/>
        </w:rPr>
        <w:t>concepto de:</w:t>
      </w:r>
    </w:p>
    <w:p w:rsidR="005F573C" w:rsidRPr="006173F1" w:rsidRDefault="005F573C" w:rsidP="005F573C">
      <w:pPr>
        <w:pStyle w:val="Sinespaciado"/>
        <w:jc w:val="both"/>
        <w:rPr>
          <w:rFonts w:ascii="Century Gothic" w:hAnsi="Century Gothic"/>
          <w:sz w:val="24"/>
          <w:szCs w:val="24"/>
        </w:rPr>
      </w:pPr>
    </w:p>
    <w:p w:rsidR="006173F1" w:rsidRDefault="006173F1" w:rsidP="005F573C">
      <w:pPr>
        <w:pStyle w:val="Sinespaciado"/>
        <w:jc w:val="both"/>
        <w:rPr>
          <w:rFonts w:ascii="Century Gothic" w:hAnsi="Century Gothic"/>
          <w:sz w:val="24"/>
          <w:szCs w:val="24"/>
        </w:rPr>
      </w:pPr>
      <w:proofErr w:type="gramStart"/>
      <w:r w:rsidRPr="006173F1">
        <w:rPr>
          <w:rFonts w:ascii="Century Gothic" w:hAnsi="Century Gothic"/>
          <w:sz w:val="24"/>
          <w:szCs w:val="24"/>
        </w:rPr>
        <w:t>a</w:t>
      </w:r>
      <w:proofErr w:type="gramEnd"/>
      <w:r w:rsidRPr="006173F1">
        <w:rPr>
          <w:rFonts w:ascii="Century Gothic" w:hAnsi="Century Gothic"/>
          <w:sz w:val="24"/>
          <w:szCs w:val="24"/>
        </w:rPr>
        <w:t xml:space="preserve"> Capital de conciliaciones: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b</w:t>
      </w:r>
      <w:proofErr w:type="gramEnd"/>
      <w:r w:rsidRPr="005F573C">
        <w:rPr>
          <w:rFonts w:ascii="Century Gothic" w:hAnsi="Century Gothic"/>
          <w:sz w:val="24"/>
          <w:szCs w:val="24"/>
        </w:rPr>
        <w:t xml:space="preserve"> Intereses de conciliaciones: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c</w:t>
      </w:r>
      <w:proofErr w:type="gramEnd"/>
      <w:r w:rsidRPr="005F573C">
        <w:rPr>
          <w:rFonts w:ascii="Century Gothic" w:hAnsi="Century Gothic"/>
          <w:sz w:val="24"/>
          <w:szCs w:val="24"/>
        </w:rPr>
        <w:t xml:space="preserve"> Capital de sentencias: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d</w:t>
      </w:r>
      <w:proofErr w:type="gramEnd"/>
      <w:r w:rsidRPr="005F573C">
        <w:rPr>
          <w:rFonts w:ascii="Century Gothic" w:hAnsi="Century Gothic"/>
          <w:sz w:val="24"/>
          <w:szCs w:val="24"/>
        </w:rPr>
        <w:t xml:space="preserve"> Intereses de sentencias: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e</w:t>
      </w:r>
      <w:proofErr w:type="gramEnd"/>
      <w:r w:rsidRPr="005F573C">
        <w:rPr>
          <w:rFonts w:ascii="Century Gothic" w:hAnsi="Century Gothic"/>
          <w:sz w:val="24"/>
          <w:szCs w:val="24"/>
        </w:rPr>
        <w:t xml:space="preserve"> Capital de laudos:</w:t>
      </w:r>
    </w:p>
    <w:p w:rsid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f</w:t>
      </w:r>
      <w:proofErr w:type="gramEnd"/>
      <w:r w:rsidRPr="005F573C">
        <w:rPr>
          <w:rFonts w:ascii="Century Gothic" w:hAnsi="Century Gothic"/>
          <w:sz w:val="24"/>
          <w:szCs w:val="24"/>
        </w:rPr>
        <w:t xml:space="preserve"> Intereses de laudos:</w:t>
      </w:r>
    </w:p>
    <w:p w:rsidR="005F573C" w:rsidRDefault="005F573C" w:rsidP="005F573C">
      <w:pPr>
        <w:pStyle w:val="Sinespaciado"/>
        <w:jc w:val="both"/>
        <w:rPr>
          <w:rFonts w:ascii="Century Gothic" w:hAnsi="Century Gothic"/>
          <w:sz w:val="24"/>
          <w:szCs w:val="24"/>
        </w:rPr>
      </w:pPr>
    </w:p>
    <w:p w:rsidR="005F573C" w:rsidRDefault="005F573C" w:rsidP="005F573C">
      <w:pPr>
        <w:pStyle w:val="Sinespaciado"/>
        <w:jc w:val="both"/>
        <w:rPr>
          <w:rFonts w:ascii="Century Gothic" w:hAnsi="Century Gothic"/>
          <w:b/>
        </w:rPr>
      </w:pPr>
      <w:r w:rsidRPr="005F573C">
        <w:rPr>
          <w:rFonts w:ascii="Century Gothic" w:hAnsi="Century Gothic"/>
          <w:b/>
        </w:rPr>
        <w:t>127. A qué valor asciende la deuda de la entidad a 31 de diciembre de 2018 evaluada por concepto de:</w:t>
      </w:r>
    </w:p>
    <w:p w:rsidR="005F573C" w:rsidRPr="005F573C" w:rsidRDefault="005F573C" w:rsidP="005F573C">
      <w:pPr>
        <w:pStyle w:val="Sinespaciado"/>
        <w:jc w:val="both"/>
        <w:rPr>
          <w:rFonts w:ascii="Century Gothic" w:hAnsi="Century Gothic"/>
          <w:b/>
        </w:rPr>
      </w:pP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a</w:t>
      </w:r>
      <w:proofErr w:type="gramEnd"/>
      <w:r w:rsidRPr="005F573C">
        <w:rPr>
          <w:rFonts w:ascii="Century Gothic" w:hAnsi="Century Gothic"/>
          <w:sz w:val="24"/>
          <w:szCs w:val="24"/>
        </w:rPr>
        <w:t xml:space="preserve"> Capital de conciliaciones: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b</w:t>
      </w:r>
      <w:proofErr w:type="gramEnd"/>
      <w:r w:rsidRPr="005F573C">
        <w:rPr>
          <w:rFonts w:ascii="Century Gothic" w:hAnsi="Century Gothic"/>
          <w:sz w:val="24"/>
          <w:szCs w:val="24"/>
        </w:rPr>
        <w:t xml:space="preserve"> Intereses de conciliaciones:</w:t>
      </w:r>
    </w:p>
    <w:p w:rsidR="005F573C" w:rsidRPr="005F573C" w:rsidRDefault="005F573C" w:rsidP="005F573C">
      <w:pPr>
        <w:pStyle w:val="Sinespaciado"/>
        <w:jc w:val="both"/>
        <w:rPr>
          <w:rFonts w:ascii="Century Gothic" w:hAnsi="Century Gothic"/>
          <w:b/>
          <w:sz w:val="24"/>
          <w:szCs w:val="24"/>
          <w:u w:val="single"/>
        </w:rPr>
      </w:pPr>
      <w:proofErr w:type="gramStart"/>
      <w:r w:rsidRPr="005F573C">
        <w:rPr>
          <w:rFonts w:ascii="Century Gothic" w:hAnsi="Century Gothic"/>
          <w:b/>
          <w:sz w:val="24"/>
          <w:szCs w:val="24"/>
          <w:u w:val="single"/>
        </w:rPr>
        <w:t>c</w:t>
      </w:r>
      <w:proofErr w:type="gramEnd"/>
      <w:r w:rsidRPr="005F573C">
        <w:rPr>
          <w:rFonts w:ascii="Century Gothic" w:hAnsi="Century Gothic"/>
          <w:b/>
          <w:sz w:val="24"/>
          <w:szCs w:val="24"/>
          <w:u w:val="single"/>
        </w:rPr>
        <w:t xml:space="preserve"> Capital de sentencias: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lastRenderedPageBreak/>
        <w:t>d</w:t>
      </w:r>
      <w:proofErr w:type="gramEnd"/>
      <w:r w:rsidRPr="005F573C">
        <w:rPr>
          <w:rFonts w:ascii="Century Gothic" w:hAnsi="Century Gothic"/>
          <w:sz w:val="24"/>
          <w:szCs w:val="24"/>
        </w:rPr>
        <w:t xml:space="preserve"> Intereses de sentencias: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e</w:t>
      </w:r>
      <w:proofErr w:type="gramEnd"/>
      <w:r w:rsidRPr="005F573C">
        <w:rPr>
          <w:rFonts w:ascii="Century Gothic" w:hAnsi="Century Gothic"/>
          <w:sz w:val="24"/>
          <w:szCs w:val="24"/>
        </w:rPr>
        <w:t xml:space="preserve"> Capital de laudos:</w:t>
      </w:r>
    </w:p>
    <w:p w:rsid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f</w:t>
      </w:r>
      <w:proofErr w:type="gramEnd"/>
      <w:r w:rsidRPr="005F573C">
        <w:rPr>
          <w:rFonts w:ascii="Century Gothic" w:hAnsi="Century Gothic"/>
          <w:sz w:val="24"/>
          <w:szCs w:val="24"/>
        </w:rPr>
        <w:t xml:space="preserve"> Intereses de laudos:</w:t>
      </w:r>
    </w:p>
    <w:p w:rsidR="005F573C" w:rsidRPr="005F573C" w:rsidRDefault="005F573C" w:rsidP="005F573C">
      <w:pPr>
        <w:pStyle w:val="Sinespaciado"/>
        <w:jc w:val="both"/>
        <w:rPr>
          <w:rFonts w:ascii="Century Gothic" w:hAnsi="Century Gothic"/>
          <w:sz w:val="24"/>
          <w:szCs w:val="24"/>
        </w:rPr>
      </w:pPr>
    </w:p>
    <w:p w:rsidR="005F573C" w:rsidRDefault="005F573C" w:rsidP="005F573C">
      <w:pPr>
        <w:pStyle w:val="Sinespaciado"/>
        <w:jc w:val="both"/>
        <w:rPr>
          <w:rFonts w:ascii="Century Gothic" w:hAnsi="Century Gothic"/>
          <w:b/>
          <w:sz w:val="24"/>
          <w:szCs w:val="24"/>
        </w:rPr>
      </w:pPr>
      <w:r w:rsidRPr="005F573C">
        <w:rPr>
          <w:rFonts w:ascii="Century Gothic" w:hAnsi="Century Gothic"/>
          <w:b/>
          <w:sz w:val="24"/>
          <w:szCs w:val="24"/>
        </w:rPr>
        <w:t>128 ¿Cuenta la entidad con un sistema de información o base de d</w:t>
      </w:r>
      <w:r>
        <w:rPr>
          <w:rFonts w:ascii="Century Gothic" w:hAnsi="Century Gothic"/>
          <w:b/>
          <w:sz w:val="24"/>
          <w:szCs w:val="24"/>
        </w:rPr>
        <w:t xml:space="preserve">atos que contenga el inventario </w:t>
      </w:r>
      <w:r w:rsidRPr="005F573C">
        <w:rPr>
          <w:rFonts w:ascii="Century Gothic" w:hAnsi="Century Gothic"/>
          <w:b/>
          <w:sz w:val="24"/>
          <w:szCs w:val="24"/>
        </w:rPr>
        <w:t xml:space="preserve">completo de los trámites de cumplimiento y/o pago de sentencias, conciliaciones o laudos? </w:t>
      </w:r>
    </w:p>
    <w:p w:rsidR="005F573C" w:rsidRPr="005F573C" w:rsidRDefault="005F573C" w:rsidP="005F573C">
      <w:pPr>
        <w:pStyle w:val="Sinespaciado"/>
        <w:jc w:val="both"/>
        <w:rPr>
          <w:rFonts w:ascii="Century Gothic" w:hAnsi="Century Gothic"/>
          <w:b/>
          <w:sz w:val="24"/>
          <w:szCs w:val="24"/>
        </w:rPr>
      </w:pPr>
    </w:p>
    <w:p w:rsidR="005F573C" w:rsidRPr="005F573C" w:rsidRDefault="005F573C" w:rsidP="005F573C">
      <w:pPr>
        <w:pStyle w:val="Sinespaciado"/>
        <w:jc w:val="both"/>
        <w:rPr>
          <w:rFonts w:ascii="Century Gothic" w:hAnsi="Century Gothic"/>
          <w:b/>
          <w:sz w:val="24"/>
          <w:szCs w:val="24"/>
          <w:u w:val="single"/>
        </w:rPr>
      </w:pPr>
      <w:proofErr w:type="gramStart"/>
      <w:r w:rsidRPr="005F573C">
        <w:rPr>
          <w:rFonts w:ascii="Century Gothic" w:hAnsi="Century Gothic"/>
          <w:b/>
          <w:sz w:val="24"/>
          <w:szCs w:val="24"/>
          <w:u w:val="single"/>
        </w:rPr>
        <w:t>a</w:t>
      </w:r>
      <w:proofErr w:type="gramEnd"/>
      <w:r w:rsidRPr="005F573C">
        <w:rPr>
          <w:rFonts w:ascii="Century Gothic" w:hAnsi="Century Gothic"/>
          <w:b/>
          <w:sz w:val="24"/>
          <w:szCs w:val="24"/>
          <w:u w:val="single"/>
        </w:rPr>
        <w:t xml:space="preserve"> Si, y cuenta con las evidencias: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b</w:t>
      </w:r>
      <w:proofErr w:type="gramEnd"/>
      <w:r w:rsidRPr="005F573C">
        <w:rPr>
          <w:rFonts w:ascii="Century Gothic" w:hAnsi="Century Gothic"/>
          <w:sz w:val="24"/>
          <w:szCs w:val="24"/>
        </w:rPr>
        <w:t xml:space="preserve"> Parcialmente, y cuenta con las evidencias:</w:t>
      </w:r>
    </w:p>
    <w:p w:rsid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c</w:t>
      </w:r>
      <w:proofErr w:type="gramEnd"/>
      <w:r w:rsidRPr="005F573C">
        <w:rPr>
          <w:rFonts w:ascii="Century Gothic" w:hAnsi="Century Gothic"/>
          <w:sz w:val="24"/>
          <w:szCs w:val="24"/>
        </w:rPr>
        <w:t xml:space="preserve"> No</w:t>
      </w:r>
    </w:p>
    <w:p w:rsidR="005F573C" w:rsidRPr="005F573C" w:rsidRDefault="005F573C" w:rsidP="005F573C">
      <w:pPr>
        <w:pStyle w:val="Sinespaciado"/>
        <w:jc w:val="both"/>
        <w:rPr>
          <w:rFonts w:ascii="Century Gothic" w:hAnsi="Century Gothic"/>
          <w:sz w:val="24"/>
          <w:szCs w:val="24"/>
        </w:rPr>
      </w:pPr>
    </w:p>
    <w:p w:rsidR="005F573C" w:rsidRPr="005F573C" w:rsidRDefault="005F573C" w:rsidP="005F573C">
      <w:pPr>
        <w:pStyle w:val="Sinespaciado"/>
        <w:jc w:val="both"/>
        <w:rPr>
          <w:rFonts w:ascii="Century Gothic" w:hAnsi="Century Gothic"/>
          <w:b/>
          <w:sz w:val="24"/>
          <w:szCs w:val="24"/>
        </w:rPr>
      </w:pPr>
      <w:r w:rsidRPr="005F573C">
        <w:rPr>
          <w:rFonts w:ascii="Century Gothic" w:hAnsi="Century Gothic"/>
          <w:b/>
          <w:sz w:val="24"/>
          <w:szCs w:val="24"/>
        </w:rPr>
        <w:t>129. A qué valor ascendió la provisión contable del rubro de sentencias y</w:t>
      </w:r>
      <w:r>
        <w:rPr>
          <w:rFonts w:ascii="Century Gothic" w:hAnsi="Century Gothic"/>
          <w:b/>
          <w:sz w:val="24"/>
          <w:szCs w:val="24"/>
        </w:rPr>
        <w:t xml:space="preserve"> conciliaciones al cierre de la </w:t>
      </w:r>
      <w:r w:rsidRPr="005F573C">
        <w:rPr>
          <w:rFonts w:ascii="Century Gothic" w:hAnsi="Century Gothic"/>
          <w:b/>
          <w:sz w:val="24"/>
          <w:szCs w:val="24"/>
        </w:rPr>
        <w:t>vigencia evaluada, discriminada por:</w:t>
      </w:r>
    </w:p>
    <w:p w:rsidR="005F573C" w:rsidRPr="005F573C" w:rsidRDefault="005F573C" w:rsidP="005F573C">
      <w:pPr>
        <w:pStyle w:val="Sinespaciado"/>
        <w:jc w:val="both"/>
        <w:rPr>
          <w:rFonts w:ascii="Century Gothic" w:hAnsi="Century Gothic"/>
          <w:sz w:val="24"/>
          <w:szCs w:val="24"/>
        </w:rPr>
      </w:pPr>
      <w:r w:rsidRPr="005F573C">
        <w:rPr>
          <w:rFonts w:ascii="Century Gothic" w:hAnsi="Century Gothic"/>
          <w:sz w:val="24"/>
          <w:szCs w:val="24"/>
        </w:rPr>
        <w:t>.</w:t>
      </w:r>
    </w:p>
    <w:p w:rsidR="005F573C" w:rsidRPr="005F573C" w:rsidRDefault="00187F45" w:rsidP="005F573C">
      <w:pPr>
        <w:pStyle w:val="Sinespaciado"/>
        <w:jc w:val="both"/>
        <w:rPr>
          <w:rFonts w:ascii="Century Gothic" w:hAnsi="Century Gothic"/>
          <w:sz w:val="24"/>
          <w:szCs w:val="24"/>
        </w:rPr>
      </w:pPr>
      <w:r w:rsidRPr="005F573C">
        <w:rPr>
          <w:rFonts w:ascii="Century Gothic" w:hAnsi="Century Gothic"/>
          <w:sz w:val="24"/>
          <w:szCs w:val="24"/>
        </w:rPr>
        <w:t>A</w:t>
      </w:r>
      <w:r w:rsidR="005F573C" w:rsidRPr="005F573C">
        <w:rPr>
          <w:rFonts w:ascii="Century Gothic" w:hAnsi="Century Gothic"/>
          <w:sz w:val="24"/>
          <w:szCs w:val="24"/>
        </w:rPr>
        <w:t xml:space="preserve"> Conciliaciones:</w:t>
      </w:r>
    </w:p>
    <w:p w:rsidR="005F573C" w:rsidRPr="005F573C" w:rsidRDefault="005F573C" w:rsidP="005F573C">
      <w:pPr>
        <w:pStyle w:val="Sinespaciado"/>
        <w:jc w:val="both"/>
        <w:rPr>
          <w:rFonts w:ascii="Century Gothic" w:hAnsi="Century Gothic"/>
          <w:b/>
          <w:sz w:val="24"/>
          <w:szCs w:val="24"/>
          <w:u w:val="single"/>
        </w:rPr>
      </w:pPr>
      <w:proofErr w:type="gramStart"/>
      <w:r w:rsidRPr="005F573C">
        <w:rPr>
          <w:rFonts w:ascii="Century Gothic" w:hAnsi="Century Gothic"/>
          <w:b/>
          <w:sz w:val="24"/>
          <w:szCs w:val="24"/>
          <w:u w:val="single"/>
        </w:rPr>
        <w:t>b</w:t>
      </w:r>
      <w:proofErr w:type="gramEnd"/>
      <w:r w:rsidRPr="005F573C">
        <w:rPr>
          <w:rFonts w:ascii="Century Gothic" w:hAnsi="Century Gothic"/>
          <w:b/>
          <w:sz w:val="24"/>
          <w:szCs w:val="24"/>
          <w:u w:val="single"/>
        </w:rPr>
        <w:t xml:space="preserve"> Sentencias:</w:t>
      </w:r>
    </w:p>
    <w:p w:rsid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c</w:t>
      </w:r>
      <w:proofErr w:type="gramEnd"/>
      <w:r w:rsidRPr="005F573C">
        <w:rPr>
          <w:rFonts w:ascii="Century Gothic" w:hAnsi="Century Gothic"/>
          <w:sz w:val="24"/>
          <w:szCs w:val="24"/>
        </w:rPr>
        <w:t xml:space="preserve"> Laudos:</w:t>
      </w:r>
    </w:p>
    <w:p w:rsidR="005F573C" w:rsidRPr="005F573C" w:rsidRDefault="005F573C" w:rsidP="005F573C">
      <w:pPr>
        <w:pStyle w:val="Sinespaciado"/>
        <w:jc w:val="both"/>
        <w:rPr>
          <w:rFonts w:ascii="Century Gothic" w:hAnsi="Century Gothic"/>
          <w:sz w:val="24"/>
          <w:szCs w:val="24"/>
        </w:rPr>
      </w:pPr>
    </w:p>
    <w:p w:rsidR="005F573C" w:rsidRPr="00675022" w:rsidRDefault="005F573C" w:rsidP="005F573C">
      <w:pPr>
        <w:pStyle w:val="Sinespaciado"/>
        <w:jc w:val="both"/>
        <w:rPr>
          <w:rFonts w:ascii="Century Gothic" w:hAnsi="Century Gothic"/>
          <w:b/>
          <w:sz w:val="24"/>
          <w:szCs w:val="24"/>
        </w:rPr>
      </w:pPr>
      <w:r w:rsidRPr="00675022">
        <w:rPr>
          <w:rFonts w:ascii="Century Gothic" w:hAnsi="Century Gothic"/>
          <w:b/>
          <w:sz w:val="24"/>
          <w:szCs w:val="24"/>
        </w:rPr>
        <w:t xml:space="preserve">130. ¿El procedimiento de cumplimiento y pago de sentencias y conciliaciones de la entidad está de acuerdo con el previsto en el Decreto Único del Sector Hacienda y Crédito Público? </w:t>
      </w:r>
    </w:p>
    <w:p w:rsidR="005F573C" w:rsidRPr="00812B44" w:rsidRDefault="005F573C" w:rsidP="005F573C">
      <w:pPr>
        <w:pStyle w:val="Sinespaciado"/>
        <w:jc w:val="both"/>
        <w:rPr>
          <w:rFonts w:ascii="Century Gothic" w:hAnsi="Century Gothic"/>
          <w:b/>
          <w:color w:val="FF0000"/>
          <w:sz w:val="24"/>
          <w:szCs w:val="24"/>
        </w:rPr>
      </w:pPr>
    </w:p>
    <w:p w:rsidR="005F573C" w:rsidRPr="00675022" w:rsidRDefault="005F573C" w:rsidP="005F573C">
      <w:pPr>
        <w:pStyle w:val="Sinespaciado"/>
        <w:jc w:val="both"/>
        <w:rPr>
          <w:rFonts w:ascii="Century Gothic" w:hAnsi="Century Gothic"/>
          <w:sz w:val="24"/>
          <w:szCs w:val="24"/>
        </w:rPr>
      </w:pPr>
      <w:r w:rsidRPr="00675022">
        <w:rPr>
          <w:rFonts w:ascii="Century Gothic" w:hAnsi="Century Gothic"/>
          <w:sz w:val="24"/>
          <w:szCs w:val="24"/>
        </w:rPr>
        <w:t>a Si, y cuenta con las evidencias:</w:t>
      </w:r>
      <w:r w:rsidR="00187F45" w:rsidRPr="00675022">
        <w:rPr>
          <w:rFonts w:ascii="Century Gothic" w:hAnsi="Century Gothic"/>
          <w:sz w:val="24"/>
          <w:szCs w:val="24"/>
        </w:rPr>
        <w:t xml:space="preserve"> SE tiene en cuenta la ley general del presupuesto para efectos de emitir la correspondiente disponibilidad presupuestal del rubro de sentencia y conciliaciones que tiene creada la ESE para el efecto, anotando que con anterioridad a que sea notificado un fallo adverso o que el comité de conciliaciones recomiende realizar una conciliación como forma de terminación anormal del proceso por considerar que hay un alto grado de </w:t>
      </w:r>
      <w:r w:rsidR="00675022">
        <w:rPr>
          <w:rFonts w:ascii="Century Gothic" w:hAnsi="Century Gothic"/>
          <w:sz w:val="24"/>
          <w:szCs w:val="24"/>
        </w:rPr>
        <w:t xml:space="preserve">perdida </w:t>
      </w:r>
      <w:r w:rsidR="00187F45" w:rsidRPr="00675022">
        <w:rPr>
          <w:rFonts w:ascii="Century Gothic" w:hAnsi="Century Gothic"/>
          <w:sz w:val="24"/>
          <w:szCs w:val="24"/>
        </w:rPr>
        <w:t xml:space="preserve"> de una demanda o </w:t>
      </w:r>
      <w:r w:rsidR="00675022">
        <w:rPr>
          <w:rFonts w:ascii="Century Gothic" w:hAnsi="Century Gothic"/>
          <w:sz w:val="24"/>
          <w:szCs w:val="24"/>
        </w:rPr>
        <w:t xml:space="preserve">conciliación </w:t>
      </w:r>
      <w:r w:rsidR="00187F45" w:rsidRPr="00675022">
        <w:rPr>
          <w:rFonts w:ascii="Century Gothic" w:hAnsi="Century Gothic"/>
          <w:sz w:val="24"/>
          <w:szCs w:val="24"/>
        </w:rPr>
        <w:t xml:space="preserve"> , de acuerdo con la jurisprudencia y fallo de unificación de las altas cortes, se realiza la provisión contable a través del comité de sostenibilidad contable y financiera de la entidad po</w:t>
      </w:r>
      <w:r w:rsidR="00675022">
        <w:rPr>
          <w:rFonts w:ascii="Century Gothic" w:hAnsi="Century Gothic"/>
          <w:sz w:val="24"/>
          <w:szCs w:val="24"/>
        </w:rPr>
        <w:t>r</w:t>
      </w:r>
      <w:r w:rsidR="00187F45" w:rsidRPr="00675022">
        <w:rPr>
          <w:rFonts w:ascii="Century Gothic" w:hAnsi="Century Gothic"/>
          <w:sz w:val="24"/>
          <w:szCs w:val="24"/>
        </w:rPr>
        <w:t xml:space="preserve"> recomendación del </w:t>
      </w:r>
      <w:r w:rsidR="00675022" w:rsidRPr="00675022">
        <w:rPr>
          <w:rFonts w:ascii="Century Gothic" w:hAnsi="Century Gothic"/>
          <w:sz w:val="24"/>
          <w:szCs w:val="24"/>
        </w:rPr>
        <w:t>comité</w:t>
      </w:r>
      <w:r w:rsidR="00187F45" w:rsidRPr="00675022">
        <w:rPr>
          <w:rFonts w:ascii="Century Gothic" w:hAnsi="Century Gothic"/>
          <w:sz w:val="24"/>
          <w:szCs w:val="24"/>
        </w:rPr>
        <w:t xml:space="preserve"> de conciliaciones , toda vez que no se tiene creado en la actualidad el fondo de pasivo contingente por parte del ente territorial que para el caso es la alcaida municipal motivo por el cual la ESE debe asumir el pago directo de las condenas  en el as judiciales con recursos propios a través del rubro de sentencias y conciliaciones y en cumplimiento a lo establecido  en los artículo 192 de la ley 1437 de 2011, recomendando ordenar el pago de la condena dentro de los  10 meses contados a partir de la ejecutoria del fallo condenatorio o del fallo que apruebe la conciliación, para lo cual la ESE una vez tiene </w:t>
      </w:r>
      <w:r w:rsidR="00675022" w:rsidRPr="00675022">
        <w:rPr>
          <w:rFonts w:ascii="Century Gothic" w:hAnsi="Century Gothic"/>
          <w:sz w:val="24"/>
          <w:szCs w:val="24"/>
        </w:rPr>
        <w:t>conocimiento</w:t>
      </w:r>
      <w:r w:rsidR="00187F45" w:rsidRPr="00675022">
        <w:rPr>
          <w:rFonts w:ascii="Century Gothic" w:hAnsi="Century Gothic"/>
          <w:sz w:val="24"/>
          <w:szCs w:val="24"/>
        </w:rPr>
        <w:t xml:space="preserve"> del fallo entra a realizar los tramites correspondientes para el cumplimento de la </w:t>
      </w:r>
      <w:r w:rsidR="00187F45" w:rsidRPr="00675022">
        <w:rPr>
          <w:rFonts w:ascii="Century Gothic" w:hAnsi="Century Gothic"/>
          <w:sz w:val="24"/>
          <w:szCs w:val="24"/>
        </w:rPr>
        <w:lastRenderedPageBreak/>
        <w:t xml:space="preserve">sentencia dentro de los 30 </w:t>
      </w:r>
      <w:r w:rsidR="00675022" w:rsidRPr="00675022">
        <w:rPr>
          <w:rFonts w:ascii="Century Gothic" w:hAnsi="Century Gothic"/>
          <w:sz w:val="24"/>
          <w:szCs w:val="24"/>
        </w:rPr>
        <w:t>días</w:t>
      </w:r>
      <w:r w:rsidR="00187F45" w:rsidRPr="00675022">
        <w:rPr>
          <w:rFonts w:ascii="Century Gothic" w:hAnsi="Century Gothic"/>
          <w:sz w:val="24"/>
          <w:szCs w:val="24"/>
        </w:rPr>
        <w:t xml:space="preserve"> siguientes a la comunicación del fallo  adopta </w:t>
      </w:r>
    </w:p>
    <w:p w:rsidR="00187F45" w:rsidRPr="00675022" w:rsidRDefault="00187F45" w:rsidP="005F573C">
      <w:pPr>
        <w:pStyle w:val="Sinespaciado"/>
        <w:jc w:val="both"/>
        <w:rPr>
          <w:rFonts w:ascii="Century Gothic" w:hAnsi="Century Gothic"/>
          <w:sz w:val="24"/>
          <w:szCs w:val="24"/>
        </w:rPr>
      </w:pPr>
    </w:p>
    <w:p w:rsidR="005F573C" w:rsidRPr="00675022" w:rsidRDefault="005F573C" w:rsidP="005F573C">
      <w:pPr>
        <w:pStyle w:val="Sinespaciado"/>
        <w:jc w:val="both"/>
        <w:rPr>
          <w:rFonts w:ascii="Century Gothic" w:hAnsi="Century Gothic"/>
          <w:sz w:val="24"/>
          <w:szCs w:val="24"/>
        </w:rPr>
      </w:pPr>
      <w:proofErr w:type="gramStart"/>
      <w:r w:rsidRPr="00675022">
        <w:rPr>
          <w:rFonts w:ascii="Century Gothic" w:hAnsi="Century Gothic"/>
          <w:sz w:val="24"/>
          <w:szCs w:val="24"/>
        </w:rPr>
        <w:t>b</w:t>
      </w:r>
      <w:proofErr w:type="gramEnd"/>
      <w:r w:rsidRPr="00675022">
        <w:rPr>
          <w:rFonts w:ascii="Century Gothic" w:hAnsi="Century Gothic"/>
          <w:sz w:val="24"/>
          <w:szCs w:val="24"/>
        </w:rPr>
        <w:t xml:space="preserve"> Parcialmente, y cuenta con las evidencias:</w:t>
      </w:r>
    </w:p>
    <w:p w:rsidR="005F573C" w:rsidRPr="00675022" w:rsidRDefault="005F573C" w:rsidP="005F573C">
      <w:pPr>
        <w:pStyle w:val="Sinespaciado"/>
        <w:jc w:val="both"/>
        <w:rPr>
          <w:rFonts w:ascii="Century Gothic" w:hAnsi="Century Gothic"/>
          <w:sz w:val="24"/>
          <w:szCs w:val="24"/>
        </w:rPr>
      </w:pPr>
      <w:proofErr w:type="gramStart"/>
      <w:r w:rsidRPr="00675022">
        <w:rPr>
          <w:rFonts w:ascii="Century Gothic" w:hAnsi="Century Gothic"/>
          <w:sz w:val="24"/>
          <w:szCs w:val="24"/>
        </w:rPr>
        <w:t>c</w:t>
      </w:r>
      <w:proofErr w:type="gramEnd"/>
      <w:r w:rsidRPr="00675022">
        <w:rPr>
          <w:rFonts w:ascii="Century Gothic" w:hAnsi="Century Gothic"/>
          <w:sz w:val="24"/>
          <w:szCs w:val="24"/>
        </w:rPr>
        <w:t xml:space="preserve"> No</w:t>
      </w:r>
    </w:p>
    <w:p w:rsidR="005F573C" w:rsidRDefault="005F573C" w:rsidP="005F573C">
      <w:pPr>
        <w:pStyle w:val="Sinespaciado"/>
        <w:jc w:val="both"/>
        <w:rPr>
          <w:rFonts w:ascii="Century Gothic" w:hAnsi="Century Gothic"/>
          <w:sz w:val="24"/>
          <w:szCs w:val="24"/>
        </w:rPr>
      </w:pPr>
    </w:p>
    <w:p w:rsidR="005F573C" w:rsidRPr="00675022" w:rsidRDefault="005F573C" w:rsidP="005F573C">
      <w:pPr>
        <w:pStyle w:val="Sinespaciado"/>
        <w:jc w:val="both"/>
        <w:rPr>
          <w:rFonts w:ascii="Century Gothic" w:hAnsi="Century Gothic"/>
          <w:b/>
          <w:sz w:val="24"/>
          <w:szCs w:val="24"/>
        </w:rPr>
      </w:pPr>
      <w:r w:rsidRPr="00675022">
        <w:rPr>
          <w:rFonts w:ascii="Century Gothic" w:hAnsi="Century Gothic"/>
          <w:b/>
          <w:sz w:val="24"/>
          <w:szCs w:val="24"/>
        </w:rPr>
        <w:t>131</w:t>
      </w:r>
      <w:proofErr w:type="gramStart"/>
      <w:r w:rsidRPr="00675022">
        <w:rPr>
          <w:rFonts w:ascii="Century Gothic" w:hAnsi="Century Gothic"/>
          <w:b/>
          <w:sz w:val="24"/>
          <w:szCs w:val="24"/>
        </w:rPr>
        <w:t>.¿</w:t>
      </w:r>
      <w:proofErr w:type="gramEnd"/>
      <w:r w:rsidRPr="00675022">
        <w:rPr>
          <w:rFonts w:ascii="Century Gothic" w:hAnsi="Century Gothic"/>
          <w:b/>
          <w:sz w:val="24"/>
          <w:szCs w:val="24"/>
        </w:rPr>
        <w:t xml:space="preserve">Ha adoptado formalmente la entidad una metodología de reconocido valor técnico para la provisión contable del rubro de sentencias y conciliaciones? </w:t>
      </w:r>
    </w:p>
    <w:p w:rsidR="005F573C" w:rsidRPr="00675022" w:rsidRDefault="005F573C" w:rsidP="005F573C">
      <w:pPr>
        <w:pStyle w:val="Sinespaciado"/>
        <w:jc w:val="both"/>
        <w:rPr>
          <w:rFonts w:ascii="Century Gothic" w:hAnsi="Century Gothic"/>
          <w:sz w:val="24"/>
          <w:szCs w:val="24"/>
        </w:rPr>
      </w:pPr>
    </w:p>
    <w:p w:rsidR="005F573C" w:rsidRPr="00675022" w:rsidRDefault="005F573C" w:rsidP="005F573C">
      <w:pPr>
        <w:pStyle w:val="Sinespaciado"/>
        <w:jc w:val="both"/>
        <w:rPr>
          <w:rFonts w:ascii="Century Gothic" w:hAnsi="Century Gothic"/>
          <w:sz w:val="24"/>
          <w:szCs w:val="24"/>
        </w:rPr>
      </w:pPr>
      <w:r w:rsidRPr="00675022">
        <w:rPr>
          <w:rFonts w:ascii="Century Gothic" w:hAnsi="Century Gothic"/>
          <w:sz w:val="24"/>
          <w:szCs w:val="24"/>
        </w:rPr>
        <w:t>a Si, y cuenta con las evidencias:</w:t>
      </w:r>
      <w:r w:rsidR="00187F45" w:rsidRPr="00675022">
        <w:rPr>
          <w:rFonts w:ascii="Century Gothic" w:hAnsi="Century Gothic"/>
          <w:sz w:val="24"/>
          <w:szCs w:val="24"/>
        </w:rPr>
        <w:t xml:space="preserve"> Siempre que es notificada una  demanda la misma es </w:t>
      </w:r>
      <w:r w:rsidR="00675022" w:rsidRPr="00675022">
        <w:rPr>
          <w:rFonts w:ascii="Century Gothic" w:hAnsi="Century Gothic"/>
          <w:sz w:val="24"/>
          <w:szCs w:val="24"/>
        </w:rPr>
        <w:t>analizada</w:t>
      </w:r>
      <w:r w:rsidR="00187F45" w:rsidRPr="00675022">
        <w:rPr>
          <w:rFonts w:ascii="Century Gothic" w:hAnsi="Century Gothic"/>
          <w:sz w:val="24"/>
          <w:szCs w:val="24"/>
        </w:rPr>
        <w:t xml:space="preserve"> por el comité de </w:t>
      </w:r>
      <w:r w:rsidR="00675022" w:rsidRPr="00675022">
        <w:rPr>
          <w:rFonts w:ascii="Century Gothic" w:hAnsi="Century Gothic"/>
          <w:sz w:val="24"/>
          <w:szCs w:val="24"/>
        </w:rPr>
        <w:t>conciliaciones</w:t>
      </w:r>
      <w:r w:rsidR="00187F45" w:rsidRPr="00675022">
        <w:rPr>
          <w:rFonts w:ascii="Century Gothic" w:hAnsi="Century Gothic"/>
          <w:sz w:val="24"/>
          <w:szCs w:val="24"/>
        </w:rPr>
        <w:t xml:space="preserve"> y defensa judicial y en la medida en que este a través de los abogados interno y externo de la ESE consideren que existe un alto riesgo de </w:t>
      </w:r>
      <w:r w:rsidR="00675022" w:rsidRPr="00675022">
        <w:rPr>
          <w:rFonts w:ascii="Century Gothic" w:hAnsi="Century Gothic"/>
          <w:sz w:val="24"/>
          <w:szCs w:val="24"/>
        </w:rPr>
        <w:t>pérdida</w:t>
      </w:r>
      <w:r w:rsidR="00187F45" w:rsidRPr="00675022">
        <w:rPr>
          <w:rFonts w:ascii="Century Gothic" w:hAnsi="Century Gothic"/>
          <w:sz w:val="24"/>
          <w:szCs w:val="24"/>
        </w:rPr>
        <w:t xml:space="preserve"> de la demanda y conforme a los parámetros de la secretarias de sa</w:t>
      </w:r>
      <w:r w:rsidR="00675022" w:rsidRPr="00675022">
        <w:rPr>
          <w:rFonts w:ascii="Century Gothic" w:hAnsi="Century Gothic"/>
          <w:sz w:val="24"/>
          <w:szCs w:val="24"/>
        </w:rPr>
        <w:t>l</w:t>
      </w:r>
      <w:r w:rsidR="00187F45" w:rsidRPr="00675022">
        <w:rPr>
          <w:rFonts w:ascii="Century Gothic" w:hAnsi="Century Gothic"/>
          <w:sz w:val="24"/>
          <w:szCs w:val="24"/>
        </w:rPr>
        <w:t xml:space="preserve">ud de </w:t>
      </w:r>
      <w:r w:rsidR="00675022" w:rsidRPr="00675022">
        <w:rPr>
          <w:rFonts w:ascii="Century Gothic" w:hAnsi="Century Gothic"/>
          <w:sz w:val="24"/>
          <w:szCs w:val="24"/>
        </w:rPr>
        <w:t>Boyacá</w:t>
      </w:r>
      <w:r w:rsidR="00187F45" w:rsidRPr="00675022">
        <w:rPr>
          <w:rFonts w:ascii="Century Gothic" w:hAnsi="Century Gothic"/>
          <w:sz w:val="24"/>
          <w:szCs w:val="24"/>
        </w:rPr>
        <w:t xml:space="preserve"> que se plasman en el informe trimestral presentado</w:t>
      </w:r>
      <w:r w:rsidR="00675022" w:rsidRPr="00675022">
        <w:rPr>
          <w:rFonts w:ascii="Century Gothic" w:hAnsi="Century Gothic"/>
          <w:sz w:val="24"/>
          <w:szCs w:val="24"/>
        </w:rPr>
        <w:t xml:space="preserve"> </w:t>
      </w:r>
      <w:r w:rsidR="00187F45" w:rsidRPr="00675022">
        <w:rPr>
          <w:rFonts w:ascii="Century Gothic" w:hAnsi="Century Gothic"/>
          <w:sz w:val="24"/>
          <w:szCs w:val="24"/>
        </w:rPr>
        <w:t>a  dicho ente, en aplicación del</w:t>
      </w:r>
      <w:r w:rsidR="00675022" w:rsidRPr="00675022">
        <w:rPr>
          <w:rFonts w:ascii="Century Gothic" w:hAnsi="Century Gothic"/>
          <w:sz w:val="24"/>
          <w:szCs w:val="24"/>
        </w:rPr>
        <w:t xml:space="preserve"> decreto</w:t>
      </w:r>
      <w:r w:rsidR="00187F45" w:rsidRPr="00675022">
        <w:rPr>
          <w:rFonts w:ascii="Century Gothic" w:hAnsi="Century Gothic"/>
          <w:sz w:val="24"/>
          <w:szCs w:val="24"/>
        </w:rPr>
        <w:t xml:space="preserve"> 21893, se recomienda a través de este </w:t>
      </w:r>
      <w:r w:rsidR="00675022" w:rsidRPr="00675022">
        <w:rPr>
          <w:rFonts w:ascii="Century Gothic" w:hAnsi="Century Gothic"/>
          <w:sz w:val="24"/>
          <w:szCs w:val="24"/>
        </w:rPr>
        <w:t>comité d</w:t>
      </w:r>
      <w:r w:rsidR="00187F45" w:rsidRPr="00675022">
        <w:rPr>
          <w:rFonts w:ascii="Century Gothic" w:hAnsi="Century Gothic"/>
          <w:sz w:val="24"/>
          <w:szCs w:val="24"/>
        </w:rPr>
        <w:t xml:space="preserve">e </w:t>
      </w:r>
      <w:r w:rsidR="00675022" w:rsidRPr="00675022">
        <w:rPr>
          <w:rFonts w:ascii="Century Gothic" w:hAnsi="Century Gothic"/>
          <w:sz w:val="24"/>
          <w:szCs w:val="24"/>
        </w:rPr>
        <w:t>conciliaciones</w:t>
      </w:r>
      <w:r w:rsidR="00187F45" w:rsidRPr="00675022">
        <w:rPr>
          <w:rFonts w:ascii="Century Gothic" w:hAnsi="Century Gothic"/>
          <w:sz w:val="24"/>
          <w:szCs w:val="24"/>
        </w:rPr>
        <w:t xml:space="preserve"> presentar el caso ante el comité de </w:t>
      </w:r>
      <w:r w:rsidR="00675022" w:rsidRPr="00675022">
        <w:rPr>
          <w:rFonts w:ascii="Century Gothic" w:hAnsi="Century Gothic"/>
          <w:sz w:val="24"/>
          <w:szCs w:val="24"/>
        </w:rPr>
        <w:t>sostenibilidad</w:t>
      </w:r>
      <w:r w:rsidR="00187F45" w:rsidRPr="00675022">
        <w:rPr>
          <w:rFonts w:ascii="Century Gothic" w:hAnsi="Century Gothic"/>
          <w:sz w:val="24"/>
          <w:szCs w:val="24"/>
        </w:rPr>
        <w:t xml:space="preserve"> contable y financiero para que a través del mismo si el </w:t>
      </w:r>
      <w:r w:rsidR="00675022" w:rsidRPr="00675022">
        <w:rPr>
          <w:rFonts w:ascii="Century Gothic" w:hAnsi="Century Gothic"/>
          <w:sz w:val="24"/>
          <w:szCs w:val="24"/>
        </w:rPr>
        <w:t>proceso</w:t>
      </w:r>
      <w:r w:rsidR="00187F45" w:rsidRPr="00675022">
        <w:rPr>
          <w:rFonts w:ascii="Century Gothic" w:hAnsi="Century Gothic"/>
          <w:sz w:val="24"/>
          <w:szCs w:val="24"/>
        </w:rPr>
        <w:t xml:space="preserve"> e considera de alto riesgo de </w:t>
      </w:r>
      <w:r w:rsidR="00675022" w:rsidRPr="00675022">
        <w:rPr>
          <w:rFonts w:ascii="Century Gothic" w:hAnsi="Century Gothic"/>
          <w:sz w:val="24"/>
          <w:szCs w:val="24"/>
        </w:rPr>
        <w:t xml:space="preserve">pérdida </w:t>
      </w:r>
      <w:r w:rsidR="00187F45" w:rsidRPr="00675022">
        <w:rPr>
          <w:rFonts w:ascii="Century Gothic" w:hAnsi="Century Gothic"/>
          <w:sz w:val="24"/>
          <w:szCs w:val="24"/>
        </w:rPr>
        <w:t xml:space="preserve"> o incluso</w:t>
      </w:r>
      <w:r w:rsidR="00675022" w:rsidRPr="00675022">
        <w:rPr>
          <w:rFonts w:ascii="Century Gothic" w:hAnsi="Century Gothic"/>
          <w:sz w:val="24"/>
          <w:szCs w:val="24"/>
        </w:rPr>
        <w:t xml:space="preserve"> d</w:t>
      </w:r>
      <w:r w:rsidR="00187F45" w:rsidRPr="00675022">
        <w:rPr>
          <w:rFonts w:ascii="Century Gothic" w:hAnsi="Century Gothic"/>
          <w:sz w:val="24"/>
          <w:szCs w:val="24"/>
        </w:rPr>
        <w:t xml:space="preserve">e riesgo medio a través del comité se haga la </w:t>
      </w:r>
      <w:r w:rsidR="00675022" w:rsidRPr="00675022">
        <w:rPr>
          <w:rFonts w:ascii="Century Gothic" w:hAnsi="Century Gothic"/>
          <w:sz w:val="24"/>
          <w:szCs w:val="24"/>
        </w:rPr>
        <w:t>provisión</w:t>
      </w:r>
      <w:r w:rsidR="00187F45" w:rsidRPr="00675022">
        <w:rPr>
          <w:rFonts w:ascii="Century Gothic" w:hAnsi="Century Gothic"/>
          <w:sz w:val="24"/>
          <w:szCs w:val="24"/>
        </w:rPr>
        <w:t xml:space="preserve"> contable correspondiente la cu</w:t>
      </w:r>
      <w:r w:rsidR="00675022" w:rsidRPr="00675022">
        <w:rPr>
          <w:rFonts w:ascii="Century Gothic" w:hAnsi="Century Gothic"/>
          <w:sz w:val="24"/>
          <w:szCs w:val="24"/>
        </w:rPr>
        <w:t>a</w:t>
      </w:r>
      <w:r w:rsidR="00187F45" w:rsidRPr="00675022">
        <w:rPr>
          <w:rFonts w:ascii="Century Gothic" w:hAnsi="Century Gothic"/>
          <w:sz w:val="24"/>
          <w:szCs w:val="24"/>
        </w:rPr>
        <w:t xml:space="preserve">l queda registrada en el mencionado informe con el fin de que el área administrativa realice las gestiones presupuestales a que haya lugar ante la junta directiva de la ESE par presupuestar </w:t>
      </w:r>
      <w:r w:rsidR="00675022" w:rsidRPr="00675022">
        <w:rPr>
          <w:rFonts w:ascii="Century Gothic" w:hAnsi="Century Gothic"/>
          <w:sz w:val="24"/>
          <w:szCs w:val="24"/>
        </w:rPr>
        <w:t>el valor de las pretensiones</w:t>
      </w:r>
      <w:r w:rsidR="00675022">
        <w:rPr>
          <w:rFonts w:ascii="Century Gothic" w:hAnsi="Century Gothic"/>
          <w:sz w:val="24"/>
          <w:szCs w:val="24"/>
        </w:rPr>
        <w:t xml:space="preserve"> de l</w:t>
      </w:r>
      <w:r w:rsidR="00675022" w:rsidRPr="00675022">
        <w:rPr>
          <w:rFonts w:ascii="Century Gothic" w:hAnsi="Century Gothic"/>
          <w:sz w:val="24"/>
          <w:szCs w:val="24"/>
        </w:rPr>
        <w:t>a demanda el cual se incluye en el rubro de sentencias y conciliaciones siempre que exista la disponibilidad presupuestal o exista u fallo de primera instancia condenatorio que se encuentre apelado. A</w:t>
      </w:r>
      <w:r w:rsidR="00675022">
        <w:rPr>
          <w:rFonts w:ascii="Century Gothic" w:hAnsi="Century Gothic"/>
          <w:sz w:val="24"/>
          <w:szCs w:val="24"/>
        </w:rPr>
        <w:t>s</w:t>
      </w:r>
      <w:r w:rsidR="00675022" w:rsidRPr="00675022">
        <w:rPr>
          <w:rFonts w:ascii="Century Gothic" w:hAnsi="Century Gothic"/>
          <w:sz w:val="24"/>
          <w:szCs w:val="24"/>
        </w:rPr>
        <w:t xml:space="preserve">í también  el comité de sostenibilidad contable provisiona los valores que la gerencia presente como objeto de </w:t>
      </w:r>
      <w:r w:rsidR="00675022">
        <w:rPr>
          <w:rFonts w:ascii="Century Gothic" w:hAnsi="Century Gothic"/>
          <w:sz w:val="24"/>
          <w:szCs w:val="24"/>
        </w:rPr>
        <w:t xml:space="preserve">conciliación prejudicial </w:t>
      </w:r>
      <w:r w:rsidR="00675022" w:rsidRPr="00675022">
        <w:rPr>
          <w:rFonts w:ascii="Century Gothic" w:hAnsi="Century Gothic"/>
          <w:sz w:val="24"/>
          <w:szCs w:val="24"/>
        </w:rPr>
        <w:t xml:space="preserve"> ante la procuraduría cuando se convoca a la ESE , a</w:t>
      </w:r>
      <w:r w:rsidR="00675022">
        <w:rPr>
          <w:rFonts w:ascii="Century Gothic" w:hAnsi="Century Gothic"/>
          <w:sz w:val="24"/>
          <w:szCs w:val="24"/>
        </w:rPr>
        <w:t xml:space="preserve"> </w:t>
      </w:r>
      <w:r w:rsidR="00675022" w:rsidRPr="00675022">
        <w:rPr>
          <w:rFonts w:ascii="Century Gothic" w:hAnsi="Century Gothic"/>
          <w:sz w:val="24"/>
          <w:szCs w:val="24"/>
        </w:rPr>
        <w:t xml:space="preserve">audiencia de </w:t>
      </w:r>
      <w:r w:rsidR="00675022">
        <w:rPr>
          <w:rFonts w:ascii="Century Gothic" w:hAnsi="Century Gothic"/>
          <w:sz w:val="24"/>
          <w:szCs w:val="24"/>
        </w:rPr>
        <w:t xml:space="preserve">conciliación </w:t>
      </w:r>
      <w:r w:rsidR="00675022" w:rsidRPr="00675022">
        <w:rPr>
          <w:rFonts w:ascii="Century Gothic" w:hAnsi="Century Gothic"/>
          <w:sz w:val="24"/>
          <w:szCs w:val="24"/>
        </w:rPr>
        <w:t xml:space="preserve"> y de acuerdo con el análisis del comité de conciliaciones y defensa judicial de la ESE, pro jurisprudencia reiterada o fallo de </w:t>
      </w:r>
      <w:r w:rsidR="00675022">
        <w:rPr>
          <w:rFonts w:ascii="Century Gothic" w:hAnsi="Century Gothic"/>
          <w:sz w:val="24"/>
          <w:szCs w:val="24"/>
        </w:rPr>
        <w:t xml:space="preserve">unificación </w:t>
      </w:r>
      <w:r w:rsidR="00675022" w:rsidRPr="00675022">
        <w:rPr>
          <w:rFonts w:ascii="Century Gothic" w:hAnsi="Century Gothic"/>
          <w:sz w:val="24"/>
          <w:szCs w:val="24"/>
        </w:rPr>
        <w:t>de altas cortes se evidencie  que el caso de que se pre</w:t>
      </w:r>
      <w:r w:rsidR="00675022">
        <w:rPr>
          <w:rFonts w:ascii="Century Gothic" w:hAnsi="Century Gothic"/>
          <w:sz w:val="24"/>
          <w:szCs w:val="24"/>
        </w:rPr>
        <w:t>s</w:t>
      </w:r>
      <w:r w:rsidR="00675022" w:rsidRPr="00675022">
        <w:rPr>
          <w:rFonts w:ascii="Century Gothic" w:hAnsi="Century Gothic"/>
          <w:sz w:val="24"/>
          <w:szCs w:val="24"/>
        </w:rPr>
        <w:t>ente una demanda el fallo será adverso y se  recomienda incluir el valor entrada el presupuesto a través de rubro de sentencias y c</w:t>
      </w:r>
      <w:r w:rsidR="00675022">
        <w:rPr>
          <w:rFonts w:ascii="Century Gothic" w:hAnsi="Century Gothic"/>
          <w:sz w:val="24"/>
          <w:szCs w:val="24"/>
        </w:rPr>
        <w:t>onciliaciones</w:t>
      </w:r>
      <w:r w:rsidR="00675022" w:rsidRPr="00675022">
        <w:rPr>
          <w:rFonts w:ascii="Century Gothic" w:hAnsi="Century Gothic"/>
          <w:sz w:val="24"/>
          <w:szCs w:val="24"/>
        </w:rPr>
        <w:t xml:space="preserve"> para presentar la propuesta de conciliación en la audiencia  que se real</w:t>
      </w:r>
      <w:r w:rsidR="00675022">
        <w:rPr>
          <w:rFonts w:ascii="Century Gothic" w:hAnsi="Century Gothic"/>
          <w:sz w:val="24"/>
          <w:szCs w:val="24"/>
        </w:rPr>
        <w:t>i</w:t>
      </w:r>
      <w:r w:rsidR="00675022" w:rsidRPr="00675022">
        <w:rPr>
          <w:rFonts w:ascii="Century Gothic" w:hAnsi="Century Gothic"/>
          <w:sz w:val="24"/>
          <w:szCs w:val="24"/>
        </w:rPr>
        <w:t>z</w:t>
      </w:r>
      <w:r w:rsidR="00675022">
        <w:rPr>
          <w:rFonts w:ascii="Century Gothic" w:hAnsi="Century Gothic"/>
          <w:sz w:val="24"/>
          <w:szCs w:val="24"/>
        </w:rPr>
        <w:t>a</w:t>
      </w:r>
      <w:r w:rsidR="00675022" w:rsidRPr="00675022">
        <w:rPr>
          <w:rFonts w:ascii="Century Gothic" w:hAnsi="Century Gothic"/>
          <w:sz w:val="24"/>
          <w:szCs w:val="24"/>
        </w:rPr>
        <w:t xml:space="preserve"> en la procuraduría con valores y plazos previamente establecidos </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b</w:t>
      </w:r>
      <w:proofErr w:type="gramEnd"/>
      <w:r w:rsidRPr="005F573C">
        <w:rPr>
          <w:rFonts w:ascii="Century Gothic" w:hAnsi="Century Gothic"/>
          <w:sz w:val="24"/>
          <w:szCs w:val="24"/>
        </w:rPr>
        <w:t xml:space="preserve"> No</w:t>
      </w:r>
    </w:p>
    <w:p w:rsidR="005F573C" w:rsidRDefault="005F573C" w:rsidP="005F573C">
      <w:pPr>
        <w:pStyle w:val="Sinespaciado"/>
        <w:jc w:val="both"/>
        <w:rPr>
          <w:rFonts w:ascii="Century Gothic" w:hAnsi="Century Gothic"/>
          <w:sz w:val="24"/>
          <w:szCs w:val="24"/>
        </w:rPr>
      </w:pPr>
    </w:p>
    <w:p w:rsidR="005F573C" w:rsidRPr="00812B44" w:rsidRDefault="005F573C" w:rsidP="005F573C">
      <w:pPr>
        <w:pStyle w:val="Sinespaciado"/>
        <w:jc w:val="both"/>
        <w:rPr>
          <w:rFonts w:ascii="Century Gothic" w:hAnsi="Century Gothic"/>
          <w:b/>
          <w:sz w:val="24"/>
          <w:szCs w:val="24"/>
        </w:rPr>
      </w:pPr>
      <w:r>
        <w:rPr>
          <w:rFonts w:ascii="Century Gothic" w:hAnsi="Century Gothic"/>
          <w:sz w:val="24"/>
          <w:szCs w:val="24"/>
        </w:rPr>
        <w:t xml:space="preserve">132. </w:t>
      </w:r>
      <w:r w:rsidRPr="00812B44">
        <w:rPr>
          <w:rFonts w:ascii="Century Gothic" w:hAnsi="Century Gothic"/>
          <w:b/>
          <w:sz w:val="24"/>
          <w:szCs w:val="24"/>
        </w:rPr>
        <w:t>¿La entidad realiza los estudios de procedencia de la acción de re</w:t>
      </w:r>
      <w:r w:rsidR="00812B44">
        <w:rPr>
          <w:rFonts w:ascii="Century Gothic" w:hAnsi="Century Gothic"/>
          <w:b/>
          <w:sz w:val="24"/>
          <w:szCs w:val="24"/>
        </w:rPr>
        <w:t xml:space="preserve">petición dentro de los términos </w:t>
      </w:r>
      <w:r w:rsidRPr="00812B44">
        <w:rPr>
          <w:rFonts w:ascii="Century Gothic" w:hAnsi="Century Gothic"/>
          <w:b/>
          <w:sz w:val="24"/>
          <w:szCs w:val="24"/>
        </w:rPr>
        <w:t xml:space="preserve">previstos? </w:t>
      </w:r>
    </w:p>
    <w:p w:rsidR="005F573C" w:rsidRPr="005F573C" w:rsidRDefault="005F573C" w:rsidP="005F573C">
      <w:pPr>
        <w:pStyle w:val="Sinespaciado"/>
        <w:jc w:val="both"/>
        <w:rPr>
          <w:rFonts w:ascii="Century Gothic" w:hAnsi="Century Gothic"/>
          <w:sz w:val="24"/>
          <w:szCs w:val="24"/>
        </w:rPr>
      </w:pPr>
    </w:p>
    <w:p w:rsidR="005F573C" w:rsidRPr="005F573C" w:rsidRDefault="005F573C" w:rsidP="005F573C">
      <w:pPr>
        <w:pStyle w:val="Sinespaciado"/>
        <w:jc w:val="both"/>
        <w:rPr>
          <w:rFonts w:ascii="Century Gothic" w:hAnsi="Century Gothic"/>
          <w:b/>
          <w:sz w:val="24"/>
          <w:szCs w:val="24"/>
          <w:u w:val="single"/>
        </w:rPr>
      </w:pPr>
      <w:proofErr w:type="gramStart"/>
      <w:r w:rsidRPr="005F573C">
        <w:rPr>
          <w:rFonts w:ascii="Century Gothic" w:hAnsi="Century Gothic"/>
          <w:b/>
          <w:sz w:val="24"/>
          <w:szCs w:val="24"/>
          <w:u w:val="single"/>
        </w:rPr>
        <w:t>a</w:t>
      </w:r>
      <w:proofErr w:type="gramEnd"/>
      <w:r w:rsidRPr="005F573C">
        <w:rPr>
          <w:rFonts w:ascii="Century Gothic" w:hAnsi="Century Gothic"/>
          <w:b/>
          <w:sz w:val="24"/>
          <w:szCs w:val="24"/>
          <w:u w:val="single"/>
        </w:rPr>
        <w:t xml:space="preserve"> Si, y cuenta con las evidencias: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b</w:t>
      </w:r>
      <w:proofErr w:type="gramEnd"/>
      <w:r w:rsidRPr="005F573C">
        <w:rPr>
          <w:rFonts w:ascii="Century Gothic" w:hAnsi="Century Gothic"/>
          <w:sz w:val="24"/>
          <w:szCs w:val="24"/>
        </w:rPr>
        <w:t xml:space="preserve"> Parcialmente, y cuenta con las evidencias: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lastRenderedPageBreak/>
        <w:t>c</w:t>
      </w:r>
      <w:proofErr w:type="gramEnd"/>
      <w:r w:rsidRPr="005F573C">
        <w:rPr>
          <w:rFonts w:ascii="Century Gothic" w:hAnsi="Century Gothic"/>
          <w:sz w:val="24"/>
          <w:szCs w:val="24"/>
        </w:rPr>
        <w:t xml:space="preserve"> No</w:t>
      </w:r>
    </w:p>
    <w:p w:rsid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d</w:t>
      </w:r>
      <w:proofErr w:type="gramEnd"/>
      <w:r w:rsidRPr="005F573C">
        <w:rPr>
          <w:rFonts w:ascii="Century Gothic" w:hAnsi="Century Gothic"/>
          <w:sz w:val="24"/>
          <w:szCs w:val="24"/>
        </w:rPr>
        <w:t xml:space="preserve"> No ha sido necesario adelantar acciones de repetición por ausencia de sentencias condenatorias</w:t>
      </w:r>
    </w:p>
    <w:p w:rsidR="005F573C" w:rsidRPr="005F573C" w:rsidRDefault="005F573C" w:rsidP="005F573C">
      <w:pPr>
        <w:pStyle w:val="Sinespaciado"/>
        <w:jc w:val="both"/>
        <w:rPr>
          <w:rFonts w:ascii="Century Gothic" w:hAnsi="Century Gothic"/>
          <w:sz w:val="24"/>
          <w:szCs w:val="24"/>
        </w:rPr>
      </w:pPr>
    </w:p>
    <w:p w:rsidR="005F573C" w:rsidRPr="005F573C" w:rsidRDefault="005F573C" w:rsidP="005F573C">
      <w:pPr>
        <w:pStyle w:val="Sinespaciado"/>
        <w:jc w:val="both"/>
        <w:rPr>
          <w:rFonts w:ascii="Century Gothic" w:hAnsi="Century Gothic"/>
          <w:b/>
          <w:sz w:val="24"/>
          <w:szCs w:val="24"/>
        </w:rPr>
      </w:pPr>
      <w:r w:rsidRPr="005F573C">
        <w:rPr>
          <w:rFonts w:ascii="Century Gothic" w:hAnsi="Century Gothic"/>
          <w:b/>
          <w:sz w:val="24"/>
          <w:szCs w:val="24"/>
        </w:rPr>
        <w:t xml:space="preserve">133. ¿La entidad informa acerca de sus decisiones con respecto a la procedencia de la acción de repetición al Ministerio Público? </w:t>
      </w:r>
    </w:p>
    <w:p w:rsidR="005F573C" w:rsidRPr="005F573C" w:rsidRDefault="005F573C" w:rsidP="005F573C">
      <w:pPr>
        <w:pStyle w:val="Sinespaciado"/>
        <w:jc w:val="both"/>
        <w:rPr>
          <w:rFonts w:ascii="Century Gothic" w:hAnsi="Century Gothic"/>
          <w:sz w:val="24"/>
          <w:szCs w:val="24"/>
        </w:rPr>
      </w:pP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a</w:t>
      </w:r>
      <w:proofErr w:type="gramEnd"/>
      <w:r w:rsidRPr="005F573C">
        <w:rPr>
          <w:rFonts w:ascii="Century Gothic" w:hAnsi="Century Gothic"/>
          <w:sz w:val="24"/>
          <w:szCs w:val="24"/>
        </w:rPr>
        <w:t xml:space="preserve"> Si, y cuenta con las evidencias: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b</w:t>
      </w:r>
      <w:proofErr w:type="gramEnd"/>
      <w:r w:rsidRPr="005F573C">
        <w:rPr>
          <w:rFonts w:ascii="Century Gothic" w:hAnsi="Century Gothic"/>
          <w:sz w:val="24"/>
          <w:szCs w:val="24"/>
        </w:rPr>
        <w:t xml:space="preserve"> Parcialmente, y cuenta con las evidencias:</w:t>
      </w:r>
    </w:p>
    <w:p w:rsidR="005F573C" w:rsidRPr="00812B44" w:rsidRDefault="005F573C" w:rsidP="005F573C">
      <w:pPr>
        <w:pStyle w:val="Sinespaciado"/>
        <w:jc w:val="both"/>
        <w:rPr>
          <w:rFonts w:ascii="Century Gothic" w:hAnsi="Century Gothic"/>
          <w:b/>
          <w:sz w:val="24"/>
          <w:szCs w:val="24"/>
          <w:u w:val="single"/>
        </w:rPr>
      </w:pPr>
      <w:proofErr w:type="gramStart"/>
      <w:r w:rsidRPr="00812B44">
        <w:rPr>
          <w:rFonts w:ascii="Century Gothic" w:hAnsi="Century Gothic"/>
          <w:b/>
          <w:sz w:val="24"/>
          <w:szCs w:val="24"/>
          <w:u w:val="single"/>
        </w:rPr>
        <w:t>c</w:t>
      </w:r>
      <w:proofErr w:type="gramEnd"/>
      <w:r w:rsidRPr="00812B44">
        <w:rPr>
          <w:rFonts w:ascii="Century Gothic" w:hAnsi="Century Gothic"/>
          <w:b/>
          <w:sz w:val="24"/>
          <w:szCs w:val="24"/>
          <w:u w:val="single"/>
        </w:rPr>
        <w:t xml:space="preserve"> No</w:t>
      </w:r>
    </w:p>
    <w:p w:rsidR="005F573C" w:rsidRDefault="005F573C" w:rsidP="005F573C">
      <w:pPr>
        <w:pStyle w:val="Sinespaciado"/>
        <w:jc w:val="both"/>
        <w:rPr>
          <w:rFonts w:ascii="Century Gothic" w:hAnsi="Century Gothic"/>
          <w:sz w:val="24"/>
          <w:szCs w:val="24"/>
        </w:rPr>
      </w:pPr>
    </w:p>
    <w:p w:rsidR="005F573C" w:rsidRPr="005F573C" w:rsidRDefault="005F573C" w:rsidP="005F573C">
      <w:pPr>
        <w:pStyle w:val="Sinespaciado"/>
        <w:jc w:val="both"/>
        <w:rPr>
          <w:rFonts w:ascii="Century Gothic" w:hAnsi="Century Gothic"/>
          <w:b/>
          <w:sz w:val="24"/>
          <w:szCs w:val="24"/>
        </w:rPr>
      </w:pPr>
      <w:r w:rsidRPr="005F573C">
        <w:rPr>
          <w:rFonts w:ascii="Century Gothic" w:hAnsi="Century Gothic"/>
          <w:b/>
          <w:sz w:val="24"/>
          <w:szCs w:val="24"/>
        </w:rPr>
        <w:t>134. ¿La entidad determina la procedencia o improcedencia del llamamiento en garantía con fines de repetición?</w:t>
      </w:r>
    </w:p>
    <w:p w:rsidR="005F573C" w:rsidRPr="00812B44" w:rsidRDefault="005F573C" w:rsidP="005F573C">
      <w:pPr>
        <w:pStyle w:val="Sinespaciado"/>
        <w:jc w:val="both"/>
        <w:rPr>
          <w:rFonts w:ascii="Century Gothic" w:hAnsi="Century Gothic"/>
          <w:b/>
          <w:sz w:val="24"/>
          <w:szCs w:val="24"/>
          <w:u w:val="single"/>
        </w:rPr>
      </w:pPr>
    </w:p>
    <w:p w:rsidR="005F573C" w:rsidRPr="00812B44" w:rsidRDefault="005F573C" w:rsidP="005F573C">
      <w:pPr>
        <w:pStyle w:val="Sinespaciado"/>
        <w:jc w:val="both"/>
        <w:rPr>
          <w:rFonts w:ascii="Century Gothic" w:hAnsi="Century Gothic"/>
          <w:b/>
          <w:sz w:val="24"/>
          <w:szCs w:val="24"/>
          <w:u w:val="single"/>
        </w:rPr>
      </w:pPr>
      <w:proofErr w:type="gramStart"/>
      <w:r w:rsidRPr="00812B44">
        <w:rPr>
          <w:rFonts w:ascii="Century Gothic" w:hAnsi="Century Gothic"/>
          <w:b/>
          <w:sz w:val="24"/>
          <w:szCs w:val="24"/>
          <w:u w:val="single"/>
        </w:rPr>
        <w:t>a</w:t>
      </w:r>
      <w:proofErr w:type="gramEnd"/>
      <w:r w:rsidRPr="00812B44">
        <w:rPr>
          <w:rFonts w:ascii="Century Gothic" w:hAnsi="Century Gothic"/>
          <w:b/>
          <w:sz w:val="24"/>
          <w:szCs w:val="24"/>
          <w:u w:val="single"/>
        </w:rPr>
        <w:t xml:space="preserve"> Si, y cuenta con las evidencias: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b</w:t>
      </w:r>
      <w:proofErr w:type="gramEnd"/>
      <w:r w:rsidRPr="005F573C">
        <w:rPr>
          <w:rFonts w:ascii="Century Gothic" w:hAnsi="Century Gothic"/>
          <w:sz w:val="24"/>
          <w:szCs w:val="24"/>
        </w:rPr>
        <w:t xml:space="preserve"> Parcialmente, y cuenta con las evidencias:</w:t>
      </w:r>
    </w:p>
    <w:p w:rsidR="005F573C" w:rsidRPr="005F573C" w:rsidRDefault="005F573C" w:rsidP="005F573C">
      <w:pPr>
        <w:pStyle w:val="Sinespaciado"/>
        <w:jc w:val="both"/>
        <w:rPr>
          <w:rFonts w:ascii="Century Gothic" w:hAnsi="Century Gothic"/>
          <w:sz w:val="24"/>
          <w:szCs w:val="24"/>
        </w:rPr>
      </w:pPr>
      <w:proofErr w:type="gramStart"/>
      <w:r w:rsidRPr="005F573C">
        <w:rPr>
          <w:rFonts w:ascii="Century Gothic" w:hAnsi="Century Gothic"/>
          <w:sz w:val="24"/>
          <w:szCs w:val="24"/>
        </w:rPr>
        <w:t>c</w:t>
      </w:r>
      <w:proofErr w:type="gramEnd"/>
      <w:r w:rsidRPr="005F573C">
        <w:rPr>
          <w:rFonts w:ascii="Century Gothic" w:hAnsi="Century Gothic"/>
          <w:sz w:val="24"/>
          <w:szCs w:val="24"/>
        </w:rPr>
        <w:t xml:space="preserve"> No</w:t>
      </w:r>
    </w:p>
    <w:p w:rsidR="005F573C" w:rsidRDefault="005F573C" w:rsidP="005F573C">
      <w:pPr>
        <w:pStyle w:val="Sinespaciado"/>
        <w:jc w:val="both"/>
        <w:rPr>
          <w:rFonts w:ascii="Century Gothic" w:hAnsi="Century Gothic"/>
          <w:sz w:val="24"/>
          <w:szCs w:val="24"/>
        </w:rPr>
      </w:pPr>
    </w:p>
    <w:p w:rsidR="005F573C" w:rsidRPr="005F573C" w:rsidRDefault="005F573C" w:rsidP="005F573C">
      <w:pPr>
        <w:pStyle w:val="Sinespaciado"/>
        <w:jc w:val="both"/>
        <w:rPr>
          <w:rFonts w:ascii="Century Gothic" w:hAnsi="Century Gothic"/>
          <w:b/>
          <w:sz w:val="24"/>
          <w:szCs w:val="24"/>
        </w:rPr>
      </w:pPr>
      <w:r w:rsidRPr="005F573C">
        <w:rPr>
          <w:rFonts w:ascii="Century Gothic" w:hAnsi="Century Gothic"/>
          <w:b/>
          <w:sz w:val="24"/>
          <w:szCs w:val="24"/>
        </w:rPr>
        <w:t xml:space="preserve">135. ¿La entidad cuenta con un plan y/o programa de entrenamiento y actualización para los abogados que llevan la defensa jurídica? </w:t>
      </w:r>
    </w:p>
    <w:p w:rsidR="005F573C" w:rsidRPr="005F573C" w:rsidRDefault="005F573C" w:rsidP="005F573C">
      <w:pPr>
        <w:pStyle w:val="Sinespaciado"/>
        <w:jc w:val="both"/>
        <w:rPr>
          <w:rFonts w:ascii="Century Gothic" w:hAnsi="Century Gothic"/>
          <w:sz w:val="24"/>
          <w:szCs w:val="24"/>
        </w:rPr>
      </w:pPr>
    </w:p>
    <w:p w:rsidR="005F573C" w:rsidRDefault="005F573C" w:rsidP="005F573C">
      <w:pPr>
        <w:pStyle w:val="Sinespaciado"/>
        <w:jc w:val="both"/>
        <w:rPr>
          <w:rFonts w:ascii="Century Gothic" w:hAnsi="Century Gothic"/>
          <w:b/>
          <w:sz w:val="24"/>
          <w:szCs w:val="24"/>
          <w:u w:val="single"/>
        </w:rPr>
      </w:pPr>
      <w:proofErr w:type="gramStart"/>
      <w:r w:rsidRPr="005F573C">
        <w:rPr>
          <w:rFonts w:ascii="Century Gothic" w:hAnsi="Century Gothic"/>
          <w:b/>
          <w:sz w:val="24"/>
          <w:szCs w:val="24"/>
          <w:u w:val="single"/>
        </w:rPr>
        <w:t>a</w:t>
      </w:r>
      <w:proofErr w:type="gramEnd"/>
      <w:r w:rsidRPr="005F573C">
        <w:rPr>
          <w:rFonts w:ascii="Century Gothic" w:hAnsi="Century Gothic"/>
          <w:b/>
          <w:sz w:val="24"/>
          <w:szCs w:val="24"/>
          <w:u w:val="single"/>
        </w:rPr>
        <w:t xml:space="preserve"> Si, y cuenta con las evidencias:</w:t>
      </w:r>
    </w:p>
    <w:p w:rsidR="005F573C" w:rsidRPr="005F573C" w:rsidRDefault="005F573C" w:rsidP="005F573C">
      <w:pPr>
        <w:pStyle w:val="Sinespaciado"/>
        <w:jc w:val="both"/>
        <w:rPr>
          <w:rFonts w:ascii="Century Gothic" w:hAnsi="Century Gothic"/>
          <w:b/>
          <w:sz w:val="24"/>
          <w:szCs w:val="24"/>
          <w:u w:val="single"/>
        </w:rPr>
      </w:pPr>
      <w:proofErr w:type="gramStart"/>
      <w:r>
        <w:t>b</w:t>
      </w:r>
      <w:proofErr w:type="gramEnd"/>
      <w:r>
        <w:t xml:space="preserve"> No</w:t>
      </w:r>
      <w:bookmarkStart w:id="0" w:name="_GoBack"/>
      <w:bookmarkEnd w:id="0"/>
    </w:p>
    <w:sectPr w:rsidR="005F573C" w:rsidRPr="005F573C" w:rsidSect="0032697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73F1"/>
    <w:rsid w:val="000B5FCF"/>
    <w:rsid w:val="00186DBA"/>
    <w:rsid w:val="00187F45"/>
    <w:rsid w:val="00326973"/>
    <w:rsid w:val="00440C65"/>
    <w:rsid w:val="005F573C"/>
    <w:rsid w:val="006173F1"/>
    <w:rsid w:val="00670D89"/>
    <w:rsid w:val="00675022"/>
    <w:rsid w:val="00812B44"/>
    <w:rsid w:val="00915AB9"/>
    <w:rsid w:val="00B90B6A"/>
    <w:rsid w:val="00BB7D60"/>
    <w:rsid w:val="00CD68F2"/>
    <w:rsid w:val="00D211FF"/>
    <w:rsid w:val="00E24943"/>
    <w:rsid w:val="00FA613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7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3F1"/>
    <w:rPr>
      <w:rFonts w:ascii="Tahoma" w:hAnsi="Tahoma" w:cs="Tahoma"/>
      <w:sz w:val="16"/>
      <w:szCs w:val="16"/>
    </w:rPr>
  </w:style>
  <w:style w:type="paragraph" w:styleId="Sinespaciado">
    <w:name w:val="No Spacing"/>
    <w:uiPriority w:val="1"/>
    <w:qFormat/>
    <w:rsid w:val="006173F1"/>
    <w:pPr>
      <w:spacing w:after="0" w:line="240" w:lineRule="auto"/>
    </w:pPr>
  </w:style>
  <w:style w:type="table" w:styleId="Tablaconcuadrcula">
    <w:name w:val="Table Grid"/>
    <w:basedOn w:val="Tablanormal"/>
    <w:uiPriority w:val="59"/>
    <w:rsid w:val="00B9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7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3F1"/>
    <w:rPr>
      <w:rFonts w:ascii="Tahoma" w:hAnsi="Tahoma" w:cs="Tahoma"/>
      <w:sz w:val="16"/>
      <w:szCs w:val="16"/>
    </w:rPr>
  </w:style>
  <w:style w:type="paragraph" w:styleId="Sinespaciado">
    <w:name w:val="No Spacing"/>
    <w:uiPriority w:val="1"/>
    <w:qFormat/>
    <w:rsid w:val="006173F1"/>
    <w:pPr>
      <w:spacing w:after="0" w:line="240" w:lineRule="auto"/>
    </w:pPr>
  </w:style>
  <w:style w:type="table" w:styleId="Tablaconcuadrcula">
    <w:name w:val="Table Grid"/>
    <w:basedOn w:val="Tablanormal"/>
    <w:uiPriority w:val="59"/>
    <w:rsid w:val="00B9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7C00-3C2E-46C9-90CD-04E08DA9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1860</Words>
  <Characters>10235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Salud</dc:creator>
  <cp:lastModifiedBy>SISTEMAS UNO</cp:lastModifiedBy>
  <cp:revision>2</cp:revision>
  <dcterms:created xsi:type="dcterms:W3CDTF">2019-03-08T16:23:00Z</dcterms:created>
  <dcterms:modified xsi:type="dcterms:W3CDTF">2019-03-08T16:23:00Z</dcterms:modified>
</cp:coreProperties>
</file>